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F6882">
      <w:pPr>
        <w:pStyle w:val="3"/>
        <w:bidi w:val="0"/>
        <w:ind w:left="0" w:leftChars="0" w:firstLine="0" w:firstLineChars="0"/>
        <w:rPr>
          <w:rFonts w:hint="eastAsia"/>
          <w:lang w:val="en-US" w:eastAsia="zh-CN"/>
        </w:rPr>
      </w:pPr>
      <w:r>
        <w:rPr>
          <w:rFonts w:hint="eastAsia"/>
          <w:lang w:val="en-US" w:eastAsia="zh-CN"/>
        </w:rPr>
        <w:t>附件：</w:t>
      </w:r>
    </w:p>
    <w:p w14:paraId="51B57B64">
      <w:pPr>
        <w:spacing w:line="480" w:lineRule="exact"/>
        <w:ind w:left="0" w:leftChars="0" w:firstLine="0" w:firstLineChars="0"/>
        <w:jc w:val="center"/>
        <w:rPr>
          <w:rFonts w:hint="eastAsia" w:ascii="方正仿宋_GB2312" w:hAnsi="方正小标宋简体" w:eastAsia="方正小标宋简体"/>
          <w:sz w:val="44"/>
          <w:szCs w:val="44"/>
        </w:rPr>
      </w:pPr>
      <w:r>
        <w:rPr>
          <w:rFonts w:hint="eastAsia" w:ascii="方正仿宋_GB2312" w:hAnsi="方正小标宋简体" w:eastAsia="方正小标宋简体"/>
          <w:sz w:val="44"/>
          <w:szCs w:val="44"/>
        </w:rPr>
        <w:t>沈阳市生态环境局 沈阳市自然资源局关于提升土壤污染状况调查从业单位服务</w:t>
      </w:r>
    </w:p>
    <w:p w14:paraId="AFC331FA">
      <w:pPr>
        <w:spacing w:line="480" w:lineRule="exact"/>
        <w:ind w:left="0" w:leftChars="0" w:firstLine="0" w:firstLineChars="0"/>
        <w:jc w:val="center"/>
        <w:rPr>
          <w:rFonts w:hint="default" w:ascii="方正仿宋_GB2312" w:hAnsi="方正小标宋简体" w:eastAsia="方正小标宋简体"/>
          <w:sz w:val="44"/>
          <w:szCs w:val="44"/>
          <w:lang w:val="en-US" w:eastAsia="zh-CN"/>
        </w:rPr>
      </w:pPr>
      <w:r>
        <w:rPr>
          <w:rFonts w:hint="eastAsia" w:ascii="方正仿宋_GB2312" w:hAnsi="方正小标宋简体" w:eastAsia="方正小标宋简体"/>
          <w:sz w:val="44"/>
          <w:szCs w:val="44"/>
        </w:rPr>
        <w:t>质量的通知</w:t>
      </w:r>
      <w:r>
        <w:rPr>
          <w:rFonts w:hint="eastAsia" w:ascii="方正仿宋_GB2312" w:hAnsi="方正小标宋简体" w:eastAsia="方正小标宋简体"/>
          <w:sz w:val="44"/>
          <w:szCs w:val="44"/>
          <w:lang w:eastAsia="zh-CN"/>
        </w:rPr>
        <w:t>（</w:t>
      </w:r>
      <w:r>
        <w:rPr>
          <w:rFonts w:hint="eastAsia" w:ascii="方正仿宋_GB2312" w:hAnsi="方正小标宋简体" w:eastAsia="方正小标宋简体"/>
          <w:sz w:val="44"/>
          <w:szCs w:val="44"/>
          <w:lang w:val="en-US" w:eastAsia="zh-CN"/>
        </w:rPr>
        <w:t>征求意见稿）</w:t>
      </w:r>
    </w:p>
    <w:p w14:paraId="0C551887">
      <w:pPr>
        <w:spacing w:line="480" w:lineRule="exact"/>
        <w:ind w:firstLineChars="200"/>
        <w:rPr>
          <w:rFonts w:ascii="方正仿宋_GB2312" w:hAnsi="方正仿宋_GB2312" w:eastAsia="方正仿宋_GB2312"/>
          <w:sz w:val="32"/>
          <w:szCs w:val="32"/>
        </w:rPr>
      </w:pPr>
    </w:p>
    <w:p w14:paraId="36CE0C72">
      <w:pPr>
        <w:bidi w:val="0"/>
        <w:ind w:left="0" w:leftChars="0" w:firstLine="0" w:firstLineChars="0"/>
      </w:pPr>
      <w:r>
        <w:t>各</w:t>
      </w:r>
      <w:r>
        <w:rPr>
          <w:rFonts w:hint="eastAsia"/>
          <w:lang w:eastAsia="zh-CN"/>
        </w:rPr>
        <w:t>区、县（</w:t>
      </w:r>
      <w:r>
        <w:rPr>
          <w:rFonts w:hint="eastAsia"/>
          <w:lang w:val="en-US" w:eastAsia="zh-CN"/>
        </w:rPr>
        <w:t>市）</w:t>
      </w:r>
      <w:r>
        <w:t>生态环境分局、自然资源</w:t>
      </w:r>
      <w:r>
        <w:rPr>
          <w:rFonts w:hint="eastAsia"/>
          <w:lang w:eastAsia="zh-CN"/>
        </w:rPr>
        <w:t>分</w:t>
      </w:r>
      <w:r>
        <w:t>局，从业单位，土地使用权人：</w:t>
      </w:r>
    </w:p>
    <w:p w14:paraId="D6EAE5B2">
      <w:pPr>
        <w:bidi w:val="0"/>
      </w:pPr>
      <w:r>
        <w:t>为</w:t>
      </w:r>
      <w:r>
        <w:rPr>
          <w:rFonts w:hint="eastAsia"/>
          <w:lang w:val="en-US" w:eastAsia="zh-CN"/>
        </w:rPr>
        <w:t>贯彻</w:t>
      </w:r>
      <w:r>
        <w:t>落实《中华人民共和国土壤污染防治法》《建设用地土壤污染状况调查、风险评估、风险管控及修复效果评估报告评审指南》（环办土壤〔2019〕63号）、《沈阳市生态环境局关于进一步加强建设用地土壤污染状况调查报告评审管理的通知》等法规文件要求，</w:t>
      </w:r>
      <w:r>
        <w:rPr>
          <w:rFonts w:hint="eastAsia"/>
          <w:lang w:val="en-US" w:eastAsia="zh-CN"/>
        </w:rPr>
        <w:t>切实提升</w:t>
      </w:r>
      <w:r>
        <w:rPr>
          <w:rFonts w:hint="eastAsia"/>
        </w:rPr>
        <w:t>土壤污染状况调查从业单位服务质量</w:t>
      </w:r>
      <w:r>
        <w:rPr>
          <w:rFonts w:hint="eastAsia"/>
          <w:lang w:eastAsia="zh-CN"/>
        </w:rPr>
        <w:t>，</w:t>
      </w:r>
      <w:r>
        <w:rPr>
          <w:rFonts w:hint="eastAsia"/>
          <w:lang w:val="en-US" w:eastAsia="zh-CN"/>
        </w:rPr>
        <w:t>结合我市实际</w:t>
      </w:r>
      <w:r>
        <w:t>，现就相关工作要求通知如下：</w:t>
      </w:r>
    </w:p>
    <w:p w14:paraId="8BF373E4">
      <w:pPr>
        <w:pStyle w:val="3"/>
        <w:bidi w:val="0"/>
      </w:pPr>
      <w:r>
        <w:t>一、总体目标</w:t>
      </w:r>
    </w:p>
    <w:p w14:paraId="323FA44E">
      <w:pPr>
        <w:bidi w:val="0"/>
        <w:rPr>
          <w:rFonts w:hint="eastAsia" w:eastAsia="仿宋_GB2312"/>
          <w:lang w:eastAsia="zh-CN"/>
        </w:rPr>
      </w:pPr>
      <w:r>
        <w:rPr>
          <w:rFonts w:hint="eastAsia"/>
          <w:lang w:val="en-US" w:eastAsia="zh-CN"/>
        </w:rPr>
        <w:t>为确保我市重点建设用地安全利用，保障人居环境安全，</w:t>
      </w:r>
      <w:r>
        <w:rPr>
          <w:rFonts w:hint="eastAsia"/>
        </w:rPr>
        <w:t>强化从业单位全过程质量管理，依托土壤污染状况调查报告评审打分标准，全面</w:t>
      </w:r>
      <w:r>
        <w:rPr>
          <w:rFonts w:hint="eastAsia"/>
          <w:lang w:val="en-US" w:eastAsia="zh-CN"/>
        </w:rPr>
        <w:t>提高</w:t>
      </w:r>
      <w:r>
        <w:rPr>
          <w:rFonts w:hint="eastAsia"/>
        </w:rPr>
        <w:t>土壤调查从业单位报告</w:t>
      </w:r>
      <w:r>
        <w:rPr>
          <w:rFonts w:hint="eastAsia"/>
          <w:lang w:val="en-US" w:eastAsia="zh-CN"/>
        </w:rPr>
        <w:t>编制</w:t>
      </w:r>
      <w:r>
        <w:rPr>
          <w:rFonts w:hint="eastAsia"/>
        </w:rPr>
        <w:t>质量，方便土地使用权人择优遴选技术服务机构，提升土壤调查工作效率，以土壤环境高水平保护支撑我市经济高质量发展</w:t>
      </w:r>
      <w:r>
        <w:rPr>
          <w:rFonts w:hint="eastAsia"/>
          <w:lang w:eastAsia="zh-CN"/>
        </w:rPr>
        <w:t>。</w:t>
      </w:r>
    </w:p>
    <w:p w14:paraId="7B68D5B0">
      <w:pPr>
        <w:pStyle w:val="3"/>
        <w:bidi w:val="0"/>
        <w:rPr>
          <w:rFonts w:hint="default"/>
          <w:lang w:val="en-US" w:eastAsia="zh-CN"/>
        </w:rPr>
      </w:pPr>
      <w:r>
        <w:rPr>
          <w:rFonts w:hint="eastAsia"/>
          <w:lang w:val="en-US" w:eastAsia="zh-CN"/>
        </w:rPr>
        <w:t>二、工作任务</w:t>
      </w:r>
    </w:p>
    <w:p w14:paraId="FDA94262">
      <w:pPr>
        <w:bidi w:val="0"/>
        <w:rPr>
          <w:rFonts w:hint="eastAsia" w:eastAsia="仿宋_GB2312"/>
          <w:lang w:eastAsia="zh-CN"/>
        </w:rPr>
      </w:pPr>
      <w:r>
        <w:t>1.压实</w:t>
      </w:r>
      <w:r>
        <w:rPr>
          <w:rFonts w:hint="eastAsia"/>
        </w:rPr>
        <w:t>土壤调查从业单位</w:t>
      </w:r>
      <w:r>
        <w:t>、检测单位主体责任，</w:t>
      </w:r>
      <w:r>
        <w:rPr>
          <w:rFonts w:hint="eastAsia"/>
          <w:lang w:val="en-US" w:eastAsia="zh-CN"/>
        </w:rPr>
        <w:t>强化内部</w:t>
      </w:r>
      <w:r>
        <w:t>质量</w:t>
      </w:r>
      <w:r>
        <w:rPr>
          <w:rFonts w:hint="eastAsia"/>
          <w:lang w:val="en-US" w:eastAsia="zh-CN"/>
        </w:rPr>
        <w:t>控制，采样、检测等</w:t>
      </w:r>
      <w:r>
        <w:t>过程影像留存、原始资料长期存档等刚性要求，减少</w:t>
      </w:r>
      <w:r>
        <w:rPr>
          <w:rFonts w:hint="eastAsia"/>
          <w:lang w:val="en-US" w:eastAsia="zh-CN"/>
        </w:rPr>
        <w:t>因质控不到位导致</w:t>
      </w:r>
      <w:r>
        <w:t>报告</w:t>
      </w:r>
      <w:r>
        <w:rPr>
          <w:rFonts w:hint="eastAsia"/>
          <w:lang w:val="en-US" w:eastAsia="zh-CN"/>
        </w:rPr>
        <w:t>反复修改</w:t>
      </w:r>
      <w:r>
        <w:t>、不予通过</w:t>
      </w:r>
      <w:r>
        <w:rPr>
          <w:rFonts w:hint="eastAsia"/>
          <w:lang w:val="en-US" w:eastAsia="zh-CN"/>
        </w:rPr>
        <w:t>等</w:t>
      </w:r>
      <w:r>
        <w:t>情形</w:t>
      </w:r>
      <w:r>
        <w:rPr>
          <w:rFonts w:hint="eastAsia"/>
          <w:lang w:eastAsia="zh-CN"/>
        </w:rPr>
        <w:t>。</w:t>
      </w:r>
    </w:p>
    <w:p w14:paraId="8BE4C460">
      <w:pPr>
        <w:bidi w:val="0"/>
      </w:pPr>
      <w:r>
        <w:t>2.建立从业单位报告质量量化评价体系</w:t>
      </w:r>
      <w:r>
        <w:rPr>
          <w:rFonts w:hint="eastAsia"/>
          <w:lang w:eastAsia="zh-CN"/>
        </w:rPr>
        <w:t>（</w:t>
      </w:r>
      <w:r>
        <w:rPr>
          <w:rFonts w:hint="eastAsia"/>
          <w:lang w:val="en-US" w:eastAsia="zh-CN"/>
        </w:rPr>
        <w:t>见附件）</w:t>
      </w:r>
      <w:r>
        <w:rPr>
          <w:rFonts w:hint="eastAsia"/>
          <w:lang w:eastAsia="zh-CN"/>
        </w:rPr>
        <w:t>，</w:t>
      </w:r>
      <w:r>
        <w:t>量化各从业单位报告编制质</w:t>
      </w:r>
      <w:r>
        <w:rPr>
          <w:highlight w:val="none"/>
        </w:rPr>
        <w:t>量，</w:t>
      </w:r>
      <w:r>
        <w:rPr>
          <w:rFonts w:hint="eastAsia"/>
          <w:highlight w:val="none"/>
          <w:lang w:val="en-US" w:eastAsia="zh-CN"/>
        </w:rPr>
        <w:t>每季度统计全市土壤污染状况调查从业单位报告质量平均得分情况，通过市生态环境局官网公示，年度末发布全年土壤污染状况调查从业单位报告质量平均得分榜单。</w:t>
      </w:r>
    </w:p>
    <w:p w14:paraId="6A3498D2">
      <w:pPr>
        <w:bidi w:val="0"/>
        <w:rPr>
          <w:rFonts w:hint="default" w:eastAsia="仿宋_GB2312"/>
          <w:highlight w:val="none"/>
          <w:lang w:val="en-US" w:eastAsia="zh-CN"/>
        </w:rPr>
      </w:pPr>
      <w:r>
        <w:t>3.</w:t>
      </w:r>
      <w:r>
        <w:rPr>
          <w:highlight w:val="none"/>
        </w:rPr>
        <w:t>土地使用权人可依据公开</w:t>
      </w:r>
      <w:r>
        <w:rPr>
          <w:rFonts w:hint="eastAsia"/>
          <w:highlight w:val="none"/>
          <w:lang w:val="en-US" w:eastAsia="zh-CN"/>
        </w:rPr>
        <w:t>的</w:t>
      </w:r>
      <w:r>
        <w:rPr>
          <w:highlight w:val="none"/>
        </w:rPr>
        <w:t>土壤污染状况调查报告评审打分</w:t>
      </w:r>
      <w:r>
        <w:rPr>
          <w:rFonts w:hint="eastAsia"/>
          <w:highlight w:val="none"/>
          <w:lang w:val="en-US" w:eastAsia="zh-CN"/>
        </w:rPr>
        <w:t>情况</w:t>
      </w:r>
      <w:r>
        <w:rPr>
          <w:highlight w:val="none"/>
        </w:rPr>
        <w:t>择优委托从业单位，</w:t>
      </w:r>
      <w:r>
        <w:rPr>
          <w:rFonts w:hint="eastAsia"/>
          <w:highlight w:val="none"/>
          <w:lang w:val="en-US" w:eastAsia="zh-CN"/>
        </w:rPr>
        <w:t>提高土壤污染状况调查报告编制质量，从源头上压缩项目整体实施周期，倒逼行业提质增效。</w:t>
      </w:r>
    </w:p>
    <w:p w14:paraId="75701427">
      <w:pPr>
        <w:bidi w:val="0"/>
        <w:rPr>
          <w:rFonts w:hint="eastAsia"/>
          <w:highlight w:val="none"/>
          <w:lang w:val="en-US" w:eastAsia="zh-CN"/>
        </w:rPr>
      </w:pPr>
      <w:r>
        <w:t>4.</w:t>
      </w:r>
      <w:r>
        <w:rPr>
          <w:rFonts w:hint="eastAsia"/>
        </w:rPr>
        <w:t>生态环境</w:t>
      </w:r>
      <w:r>
        <w:rPr>
          <w:rFonts w:hint="eastAsia"/>
          <w:lang w:val="en-US" w:eastAsia="zh-CN"/>
        </w:rPr>
        <w:t>部门</w:t>
      </w:r>
      <w:r>
        <w:rPr>
          <w:rFonts w:hint="eastAsia"/>
          <w:highlight w:val="none"/>
        </w:rPr>
        <w:t>在项目初审阶段，对</w:t>
      </w:r>
      <w:r>
        <w:rPr>
          <w:rFonts w:hint="eastAsia"/>
          <w:highlight w:val="none"/>
          <w:lang w:eastAsia="zh-CN"/>
        </w:rPr>
        <w:t>季度、</w:t>
      </w:r>
      <w:r>
        <w:rPr>
          <w:rFonts w:hint="eastAsia"/>
          <w:highlight w:val="none"/>
          <w:vertAlign w:val="baseline"/>
          <w:lang w:val="en-US" w:eastAsia="zh-CN"/>
        </w:rPr>
        <w:t>年度</w:t>
      </w:r>
      <w:r>
        <w:rPr>
          <w:rFonts w:hint="eastAsia"/>
          <w:highlight w:val="none"/>
          <w:lang w:val="en-US" w:eastAsia="zh-CN"/>
        </w:rPr>
        <w:t>平均</w:t>
      </w:r>
      <w:r>
        <w:rPr>
          <w:rFonts w:hint="eastAsia"/>
          <w:highlight w:val="none"/>
          <w:vertAlign w:val="baseline"/>
          <w:lang w:val="en-US" w:eastAsia="zh-CN"/>
        </w:rPr>
        <w:t>得分</w:t>
      </w:r>
      <w:r>
        <w:rPr>
          <w:rFonts w:hint="eastAsia"/>
          <w:highlight w:val="none"/>
          <w:lang w:val="en-US" w:eastAsia="zh-CN"/>
        </w:rPr>
        <w:t>低于60分的从业</w:t>
      </w:r>
      <w:r>
        <w:rPr>
          <w:rFonts w:hint="eastAsia"/>
          <w:highlight w:val="none"/>
        </w:rPr>
        <w:t>单位</w:t>
      </w:r>
      <w:r>
        <w:rPr>
          <w:rFonts w:hint="eastAsia"/>
          <w:highlight w:val="none"/>
          <w:lang w:eastAsia="zh-CN"/>
        </w:rPr>
        <w:t>，</w:t>
      </w:r>
      <w:r>
        <w:rPr>
          <w:rFonts w:hint="eastAsia"/>
        </w:rPr>
        <w:t>报</w:t>
      </w:r>
      <w:r>
        <w:rPr>
          <w:rFonts w:hint="eastAsia"/>
          <w:lang w:eastAsia="zh-CN"/>
        </w:rPr>
        <w:t>审</w:t>
      </w:r>
      <w:r>
        <w:rPr>
          <w:rFonts w:hint="eastAsia"/>
        </w:rPr>
        <w:t>报告重点</w:t>
      </w:r>
      <w:r>
        <w:rPr>
          <w:rFonts w:hint="eastAsia"/>
          <w:lang w:val="en-US" w:eastAsia="zh-CN"/>
        </w:rPr>
        <w:t>进行</w:t>
      </w:r>
      <w:r>
        <w:rPr>
          <w:rFonts w:hint="eastAsia"/>
        </w:rPr>
        <w:t>核查</w:t>
      </w:r>
      <w:r>
        <w:rPr>
          <w:rFonts w:hint="eastAsia"/>
          <w:lang w:eastAsia="zh-CN"/>
        </w:rPr>
        <w:t>，</w:t>
      </w:r>
      <w:r>
        <w:rPr>
          <w:highlight w:val="none"/>
        </w:rPr>
        <w:t>消除因报告质量问题延误土地收储、出让、开发等环节风险，保障全市建设用地有序</w:t>
      </w:r>
      <w:r>
        <w:rPr>
          <w:rFonts w:hint="eastAsia"/>
          <w:highlight w:val="none"/>
          <w:lang w:val="en-US" w:eastAsia="zh-CN"/>
        </w:rPr>
        <w:t>供应。</w:t>
      </w:r>
    </w:p>
    <w:p w14:paraId="4DE1F3B3">
      <w:pPr>
        <w:bidi w:val="0"/>
        <w:rPr>
          <w:rFonts w:hint="default"/>
          <w:highlight w:val="none"/>
          <w:lang w:val="en-US" w:eastAsia="zh-CN"/>
        </w:rPr>
      </w:pPr>
      <w:r>
        <w:rPr>
          <w:rFonts w:hint="eastAsia"/>
          <w:highlight w:val="none"/>
          <w:lang w:val="en-US" w:eastAsia="zh-CN"/>
        </w:rPr>
        <w:t>5.自然资源部门按照《建设用地土壤污染状况调查、风险评估、风险管控及修复效果评估报告评审指南》要求核实地块用地面积（四至范围）、历史、现状、土地使用权人、规划用途、用途变更、有关用地审批和规划许可等信息。杜绝从业单位因地块边界界定模糊、用地范围偏差、红线范围不匹配等问题造成重复调查、返工补测、多次评审整改等情况。切实提升土地供应效率。</w:t>
      </w:r>
    </w:p>
    <w:p w14:paraId="71C4AA13">
      <w:pPr>
        <w:bidi w:val="0"/>
        <w:rPr>
          <w:rFonts w:hint="eastAsia"/>
          <w:highlight w:val="none"/>
          <w:lang w:val="en-US" w:eastAsia="zh-CN"/>
        </w:rPr>
      </w:pPr>
      <w:r>
        <w:rPr>
          <w:rFonts w:hint="eastAsia"/>
          <w:highlight w:val="none"/>
          <w:lang w:val="en-US" w:eastAsia="zh-CN"/>
        </w:rPr>
        <w:t>6.强化评审整改与信用管理，报告因编制质量未通过评审、逾期未整改、复核仍不通过的，生态环境部门将予以公开通报，相关记录纳入从业单位信用系统；存在弄虚作假、违反廉政评审纪律的专家，取消项目评审资格，情节严重移送司法机关。</w:t>
      </w:r>
    </w:p>
    <w:p w14:paraId="7B3E120F">
      <w:pPr>
        <w:pStyle w:val="3"/>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w:t>
      </w:r>
      <w:r>
        <w:rPr>
          <w:rFonts w:hint="eastAsia" w:ascii="黑体" w:hAnsi="黑体" w:eastAsia="黑体" w:cs="黑体"/>
          <w:sz w:val="32"/>
          <w:szCs w:val="32"/>
          <w:lang w:val="en-US" w:eastAsia="zh-CN"/>
        </w:rPr>
        <w:t>考评结果应用</w:t>
      </w:r>
    </w:p>
    <w:p w14:paraId="96CBBF39">
      <w:pPr>
        <w:bidi w:val="0"/>
        <w:rPr>
          <w:rFonts w:hint="eastAsia" w:eastAsia="仿宋_GB2312"/>
          <w:lang w:eastAsia="zh-CN"/>
        </w:rPr>
      </w:pPr>
      <w:r>
        <w:t>1.</w:t>
      </w:r>
      <w:r>
        <w:rPr>
          <w:rFonts w:hint="eastAsia"/>
        </w:rPr>
        <w:t>建立快速评审通道，</w:t>
      </w:r>
      <w:r>
        <w:rPr>
          <w:rFonts w:hint="eastAsia"/>
          <w:highlight w:val="none"/>
          <w:lang w:eastAsia="zh-CN"/>
        </w:rPr>
        <w:t>对季度及</w:t>
      </w:r>
      <w:r>
        <w:rPr>
          <w:rFonts w:hint="eastAsia"/>
          <w:highlight w:val="none"/>
          <w:vertAlign w:val="baseline"/>
          <w:lang w:val="en-US" w:eastAsia="zh-CN"/>
        </w:rPr>
        <w:t>年度</w:t>
      </w:r>
      <w:r>
        <w:rPr>
          <w:rFonts w:hint="eastAsia"/>
          <w:highlight w:val="none"/>
          <w:lang w:val="en-US" w:eastAsia="zh-CN"/>
        </w:rPr>
        <w:t>平均</w:t>
      </w:r>
      <w:r>
        <w:rPr>
          <w:rFonts w:hint="eastAsia"/>
          <w:highlight w:val="none"/>
          <w:vertAlign w:val="baseline"/>
          <w:lang w:val="en-US" w:eastAsia="zh-CN"/>
        </w:rPr>
        <w:t>得分</w:t>
      </w:r>
      <w:r>
        <w:rPr>
          <w:rFonts w:hint="eastAsia"/>
          <w:highlight w:val="none"/>
          <w:lang w:val="en-US" w:eastAsia="zh-CN"/>
        </w:rPr>
        <w:t>高于90分</w:t>
      </w:r>
      <w:r>
        <w:rPr>
          <w:rFonts w:hint="eastAsia"/>
          <w:highlight w:val="none"/>
          <w:lang w:eastAsia="zh-CN"/>
        </w:rPr>
        <w:t>且</w:t>
      </w:r>
      <w:r>
        <w:rPr>
          <w:highlight w:val="none"/>
        </w:rPr>
        <w:t>无不良记录的从业单位</w:t>
      </w:r>
      <w:r>
        <w:rPr>
          <w:rFonts w:hint="eastAsia"/>
          <w:highlight w:val="none"/>
          <w:lang w:val="en-US" w:eastAsia="zh-CN"/>
        </w:rPr>
        <w:t>报审</w:t>
      </w:r>
      <w:r>
        <w:rPr>
          <w:highlight w:val="none"/>
        </w:rPr>
        <w:t>报告，</w:t>
      </w:r>
      <w:r>
        <w:rPr>
          <w:rFonts w:hint="eastAsia"/>
          <w:highlight w:val="none"/>
          <w:lang w:val="en-US" w:eastAsia="zh-CN"/>
        </w:rPr>
        <w:t>生态环境、自然资源部门提速组织专家评审会</w:t>
      </w:r>
      <w:r>
        <w:rPr>
          <w:rFonts w:hint="eastAsia"/>
          <w:highlight w:val="none"/>
          <w:lang w:eastAsia="zh-CN"/>
        </w:rPr>
        <w:t>。</w:t>
      </w:r>
    </w:p>
    <w:p w14:paraId="62836FE4">
      <w:pPr>
        <w:bidi w:val="0"/>
        <w:rPr>
          <w:rFonts w:hint="eastAsia" w:ascii="方正仿宋_GB2312" w:hAnsi="方正仿宋_GB2312" w:eastAsia="仿宋_GB2312"/>
          <w:szCs w:val="32"/>
          <w:lang w:eastAsia="zh-CN"/>
        </w:rPr>
      </w:pPr>
      <w:r>
        <w:t>2.负面单位帮扶整改</w:t>
      </w:r>
      <w:r>
        <w:rPr>
          <w:rFonts w:hint="eastAsia"/>
          <w:lang w:eastAsia="zh-CN"/>
        </w:rPr>
        <w:t>，</w:t>
      </w:r>
      <w:r>
        <w:t>对首次出现不合格报告的单位</w:t>
      </w:r>
      <w:r>
        <w:rPr>
          <w:rFonts w:hint="eastAsia"/>
          <w:lang w:val="en-US" w:eastAsia="zh-CN"/>
        </w:rPr>
        <w:t>由生态环境部门</w:t>
      </w:r>
      <w:r>
        <w:t>开展专项技术帮扶，组织导则、评审打分要点专项培训，督促完善内部质控</w:t>
      </w:r>
      <w:r>
        <w:rPr>
          <w:rFonts w:hint="eastAsia"/>
          <w:lang w:eastAsia="zh-CN"/>
        </w:rPr>
        <w:t>；</w:t>
      </w:r>
      <w:r>
        <w:t>连续两季度存在一票否决问题的单位，开展约谈警示</w:t>
      </w:r>
      <w:r>
        <w:rPr>
          <w:rFonts w:hint="eastAsia"/>
          <w:lang w:eastAsia="zh-CN"/>
        </w:rPr>
        <w:t>。</w:t>
      </w:r>
    </w:p>
    <w:p w14:paraId="F767E4C7">
      <w:pPr>
        <w:pStyle w:val="3"/>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rPr>
        <w:t>、</w:t>
      </w:r>
      <w:r>
        <w:rPr>
          <w:rFonts w:hint="eastAsia" w:ascii="黑体" w:hAnsi="黑体" w:eastAsia="黑体" w:cs="黑体"/>
          <w:sz w:val="32"/>
          <w:szCs w:val="32"/>
          <w:lang w:val="en-US" w:eastAsia="zh-CN"/>
        </w:rPr>
        <w:t>工作要求</w:t>
      </w:r>
    </w:p>
    <w:p w14:paraId="C6341F9C">
      <w:pPr>
        <w:bidi w:val="0"/>
        <w:rPr>
          <w:rFonts w:hint="eastAsia" w:eastAsia="仿宋_GB2312"/>
          <w:lang w:eastAsia="zh-CN"/>
        </w:rPr>
      </w:pPr>
      <w:r>
        <w:t>1.各从业单位全面对标评审打分表开展自查自纠，完善人员、设备、档案、质控全链条管理，主动提升报告编制质量</w:t>
      </w:r>
      <w:r>
        <w:rPr>
          <w:rFonts w:hint="eastAsia"/>
          <w:lang w:eastAsia="zh-CN"/>
        </w:rPr>
        <w:t>。</w:t>
      </w:r>
    </w:p>
    <w:p w14:paraId="AAA1CBA8">
      <w:pPr>
        <w:bidi w:val="0"/>
        <w:rPr>
          <w:rFonts w:hint="eastAsia" w:eastAsia="仿宋_GB2312"/>
          <w:lang w:eastAsia="zh-CN"/>
        </w:rPr>
      </w:pPr>
      <w:r>
        <w:t>2.</w:t>
      </w:r>
      <w:r>
        <w:rPr>
          <w:rFonts w:hint="eastAsia"/>
          <w:lang w:val="en-US" w:eastAsia="zh-CN"/>
        </w:rPr>
        <w:t>属地</w:t>
      </w:r>
      <w:r>
        <w:t>生态环境</w:t>
      </w:r>
      <w:r>
        <w:rPr>
          <w:rFonts w:hint="eastAsia"/>
          <w:lang w:val="en-US" w:eastAsia="zh-CN"/>
        </w:rPr>
        <w:t>部门要</w:t>
      </w:r>
      <w:r>
        <w:t>做好政策宣</w:t>
      </w:r>
      <w:r>
        <w:rPr>
          <w:rFonts w:hint="eastAsia"/>
          <w:lang w:val="en-US" w:eastAsia="zh-CN"/>
        </w:rPr>
        <w:t>传</w:t>
      </w:r>
      <w:r>
        <w:t>，向土地使用权人告知质量公开查询渠道及择优委托相关要求</w:t>
      </w:r>
      <w:r>
        <w:rPr>
          <w:rFonts w:hint="eastAsia"/>
          <w:lang w:eastAsia="zh-CN"/>
        </w:rPr>
        <w:t>。</w:t>
      </w:r>
    </w:p>
    <w:p w14:paraId="D9612D16">
      <w:pPr>
        <w:bidi w:val="0"/>
        <w:rPr>
          <w:rFonts w:hint="eastAsia" w:eastAsia="仿宋_GB2312"/>
          <w:lang w:eastAsia="zh-CN"/>
        </w:rPr>
      </w:pPr>
      <w:r>
        <w:t>3.严格规范评审流程、完整留存评审影像与档案，如实记录打分结果，确保质量评价数据客观公正</w:t>
      </w:r>
      <w:r>
        <w:rPr>
          <w:rFonts w:hint="eastAsia"/>
          <w:lang w:eastAsia="zh-CN"/>
        </w:rPr>
        <w:t>。</w:t>
      </w:r>
    </w:p>
    <w:p w14:paraId="C796F58D">
      <w:pPr>
        <w:bidi w:val="0"/>
      </w:pPr>
      <w:r>
        <w:t>4.所有参与评审专家、公职人员严守廉政纪律，规范履职，保障质量公开、评审管理工作公平透明。</w:t>
      </w:r>
    </w:p>
    <w:p w14:paraId="258E9A7B">
      <w:pPr>
        <w:bidi w:val="0"/>
      </w:pPr>
      <w:r>
        <w:t>附件：</w:t>
      </w:r>
      <w:r>
        <w:rPr>
          <w:rFonts w:hint="eastAsia"/>
        </w:rPr>
        <w:t>从业单位报告质量量化评价体系</w:t>
      </w:r>
    </w:p>
    <w:p w14:paraId="1F80110B">
      <w:pPr>
        <w:bidi w:val="0"/>
      </w:pPr>
    </w:p>
    <w:p w14:paraId="E0D354D0">
      <w:pPr>
        <w:wordWrap w:val="0"/>
        <w:bidi w:val="0"/>
        <w:jc w:val="right"/>
        <w:rPr>
          <w:rFonts w:hint="default" w:eastAsia="仿宋_GB2312"/>
          <w:highlight w:val="none"/>
          <w:lang w:val="en-US" w:eastAsia="zh-CN"/>
        </w:rPr>
      </w:pPr>
      <w:r>
        <w:rPr>
          <w:highlight w:val="none"/>
        </w:rPr>
        <w:t>沈阳市生态环境局</w:t>
      </w:r>
      <w:r>
        <w:rPr>
          <w:rFonts w:hint="eastAsia"/>
          <w:highlight w:val="none"/>
          <w:lang w:val="en-US" w:eastAsia="zh-CN"/>
        </w:rPr>
        <w:t xml:space="preserve">         沈阳市自然资源局      </w:t>
      </w:r>
    </w:p>
    <w:p w14:paraId="1344EDBE">
      <w:pPr>
        <w:wordWrap w:val="0"/>
        <w:bidi w:val="0"/>
        <w:jc w:val="right"/>
      </w:pPr>
      <w:r>
        <w:rPr>
          <w:highlight w:val="none"/>
        </w:rPr>
        <w:t>2026年</w:t>
      </w:r>
      <w:r>
        <w:rPr>
          <w:highlight w:val="none"/>
          <w:lang w:val="en-US"/>
        </w:rPr>
        <w:t>7</w:t>
      </w:r>
      <w:r>
        <w:rPr>
          <w:highlight w:val="none"/>
        </w:rPr>
        <w:t>月</w:t>
      </w:r>
      <w:r>
        <w:rPr>
          <w:rFonts w:hint="eastAsia"/>
          <w:highlight w:val="none"/>
          <w:lang w:val="en-US" w:eastAsia="zh-CN"/>
        </w:rPr>
        <w:t>21</w:t>
      </w:r>
      <w:r>
        <w:rPr>
          <w:highlight w:val="none"/>
        </w:rPr>
        <w:t>日</w:t>
      </w:r>
      <w:r>
        <w:rPr>
          <w:rFonts w:hint="eastAsia"/>
          <w:highlight w:val="none"/>
          <w:lang w:val="en-US" w:eastAsia="zh-CN"/>
        </w:rPr>
        <w:t xml:space="preserve">       </w:t>
      </w:r>
    </w:p>
    <w:p w14:paraId="515E0678">
      <w:pPr>
        <w:spacing w:line="240" w:lineRule="auto"/>
        <w:jc w:val="center"/>
        <w:rPr>
          <w:rFonts w:ascii="方正仿宋_GB2312" w:hAnsi="方正仿宋_GB2312" w:eastAsia="方正仿宋_GB2312"/>
          <w:sz w:val="32"/>
          <w:szCs w:val="32"/>
          <w:lang w:val="en-US"/>
        </w:rPr>
      </w:pPr>
      <w:r>
        <w:rPr>
          <w:rFonts w:ascii="方正仿宋_GB2312" w:hAnsi="方正仿宋_GB2312" w:eastAsia="方正仿宋_GB2312"/>
          <w:sz w:val="32"/>
          <w:szCs w:val="32"/>
          <w:lang w:val="en-US"/>
        </w:rPr>
        <w:br w:type="page"/>
      </w:r>
    </w:p>
    <w:p w14:paraId="5282D002">
      <w:pPr>
        <w:bidi w:val="0"/>
        <w:ind w:left="0" w:leftChars="0" w:firstLine="0" w:firstLineChars="0"/>
        <w:rPr>
          <w:rFonts w:hint="eastAsia" w:ascii="黑体" w:hAnsi="黑体" w:eastAsia="黑体" w:cs="黑体"/>
          <w:b w:val="0"/>
          <w:bCs w:val="0"/>
          <w:lang w:val="en-US" w:eastAsia="zh-CN"/>
        </w:rPr>
      </w:pPr>
      <w:r>
        <w:rPr>
          <w:rFonts w:hint="eastAsia" w:ascii="黑体" w:hAnsi="黑体" w:eastAsia="黑体" w:cs="黑体"/>
          <w:b w:val="0"/>
          <w:bCs w:val="0"/>
          <w:lang w:val="en-US" w:eastAsia="zh-CN"/>
        </w:rPr>
        <w:t>附件：</w:t>
      </w:r>
    </w:p>
    <w:p w14:paraId="7BC06773">
      <w:pPr>
        <w:bidi w:val="0"/>
        <w:ind w:left="0" w:lef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从业单位报告质量量化评价体系</w:t>
      </w:r>
    </w:p>
    <w:p w14:paraId="7D866A00">
      <w:pPr>
        <w:pStyle w:val="3"/>
        <w:bidi w:val="0"/>
      </w:pPr>
      <w:r>
        <w:t>一</w:t>
      </w:r>
      <w:r>
        <w:rPr>
          <w:rFonts w:hint="eastAsia"/>
          <w:lang w:eastAsia="zh-CN"/>
        </w:rPr>
        <w:t>、</w:t>
      </w:r>
      <w:r>
        <w:t>质量评价计分规则</w:t>
      </w:r>
    </w:p>
    <w:p w14:paraId="6FC77DFE">
      <w:pPr>
        <w:pageBreakBefore w:val="0"/>
        <w:widowControl w:val="0"/>
        <w:kinsoku/>
        <w:wordWrap/>
        <w:overflowPunct/>
        <w:topLinePunct w:val="0"/>
        <w:autoSpaceDE/>
        <w:autoSpaceDN/>
        <w:bidi w:val="0"/>
        <w:adjustRightInd/>
        <w:snapToGrid/>
        <w:spacing w:line="540" w:lineRule="exact"/>
        <w:textAlignment w:val="auto"/>
      </w:pPr>
      <w:r>
        <w:t>所有完成专家评审的土壤污染状况调查报告，均采用《土壤污染状况调查报告评审打分表》开展量化评分，评分结果作为从业单位质量评价核心依据：</w:t>
      </w:r>
    </w:p>
    <w:p w14:paraId="78C4E81A">
      <w:pPr>
        <w:pageBreakBefore w:val="0"/>
        <w:widowControl w:val="0"/>
        <w:kinsoku/>
        <w:wordWrap/>
        <w:overflowPunct/>
        <w:topLinePunct w:val="0"/>
        <w:autoSpaceDE/>
        <w:autoSpaceDN/>
        <w:bidi w:val="0"/>
        <w:adjustRightInd/>
        <w:snapToGrid/>
        <w:spacing w:line="540" w:lineRule="exact"/>
        <w:textAlignment w:val="auto"/>
      </w:pPr>
      <w:r>
        <w:t>1.总分95分及以上：直接通过评审，评定为优质报告；</w:t>
      </w:r>
    </w:p>
    <w:p w14:paraId="5F31E40C">
      <w:pPr>
        <w:pageBreakBefore w:val="0"/>
        <w:widowControl w:val="0"/>
        <w:kinsoku/>
        <w:wordWrap/>
        <w:overflowPunct/>
        <w:topLinePunct w:val="0"/>
        <w:autoSpaceDE/>
        <w:autoSpaceDN/>
        <w:bidi w:val="0"/>
        <w:adjustRightInd/>
        <w:snapToGrid/>
        <w:spacing w:line="540" w:lineRule="exact"/>
        <w:textAlignment w:val="auto"/>
      </w:pPr>
      <w:r>
        <w:t>2.总分60（含）—94分：原则通过、限期修改完善，评定为合格整改报告；</w:t>
      </w:r>
    </w:p>
    <w:p w14:paraId="57EB536B">
      <w:pPr>
        <w:pageBreakBefore w:val="0"/>
        <w:widowControl w:val="0"/>
        <w:kinsoku/>
        <w:wordWrap/>
        <w:overflowPunct/>
        <w:topLinePunct w:val="0"/>
        <w:autoSpaceDE/>
        <w:autoSpaceDN/>
        <w:bidi w:val="0"/>
        <w:adjustRightInd/>
        <w:snapToGrid/>
        <w:spacing w:line="540" w:lineRule="exact"/>
        <w:textAlignment w:val="auto"/>
      </w:pPr>
      <w:r>
        <w:t>3.总分60分以下：不予通过评审，评定为不合格报告；</w:t>
      </w:r>
    </w:p>
    <w:p w14:paraId="180A74F3">
      <w:pPr>
        <w:pageBreakBefore w:val="0"/>
        <w:widowControl w:val="0"/>
        <w:kinsoku/>
        <w:wordWrap/>
        <w:overflowPunct/>
        <w:topLinePunct w:val="0"/>
        <w:autoSpaceDE/>
        <w:autoSpaceDN/>
        <w:bidi w:val="0"/>
        <w:adjustRightInd/>
        <w:snapToGrid/>
        <w:spacing w:line="540" w:lineRule="exact"/>
        <w:textAlignment w:val="auto"/>
      </w:pPr>
      <w:r>
        <w:t>4.报告存在一票否决项的，总分直接计0分，判定为严重不合格报告。</w:t>
      </w:r>
    </w:p>
    <w:p w14:paraId="254D8CDE">
      <w:pPr>
        <w:pStyle w:val="3"/>
        <w:bidi w:val="0"/>
      </w:pPr>
      <w:r>
        <w:t>二</w:t>
      </w:r>
      <w:r>
        <w:rPr>
          <w:rFonts w:hint="eastAsia"/>
          <w:lang w:eastAsia="zh-CN"/>
        </w:rPr>
        <w:t>、</w:t>
      </w:r>
      <w:r>
        <w:t>一票否决</w:t>
      </w:r>
      <w:r>
        <w:rPr>
          <w:rFonts w:hint="eastAsia"/>
          <w:lang w:val="en-US" w:eastAsia="zh-CN"/>
        </w:rPr>
        <w:t>情形</w:t>
      </w:r>
      <w:r>
        <w:t>（纳入单位负面记录）</w:t>
      </w:r>
    </w:p>
    <w:p w14:paraId="4FD73710">
      <w:pPr>
        <w:pageBreakBefore w:val="0"/>
        <w:widowControl w:val="0"/>
        <w:kinsoku/>
        <w:wordWrap/>
        <w:overflowPunct/>
        <w:topLinePunct w:val="0"/>
        <w:autoSpaceDE/>
        <w:autoSpaceDN/>
        <w:bidi w:val="0"/>
        <w:adjustRightInd/>
        <w:snapToGrid/>
        <w:spacing w:line="540" w:lineRule="exact"/>
        <w:textAlignment w:val="auto"/>
      </w:pPr>
      <w:r>
        <w:t>凡报告出现以下打分表列明一票否决情形，直接认定从业单位质量严重不达标，同步记入信用记录：</w:t>
      </w:r>
    </w:p>
    <w:p w14:paraId="476660FA">
      <w:pPr>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lang w:val="en-US" w:eastAsia="zh-CN"/>
        </w:rPr>
        <w:t>1.</w:t>
      </w:r>
      <w:r>
        <w:rPr>
          <w:rFonts w:hint="eastAsia"/>
        </w:rPr>
        <w:t>潜在污染因子识别不充分，遗漏地块的特征污染物，遗漏识别较为重要的疑似污染区域。</w:t>
      </w:r>
    </w:p>
    <w:p w14:paraId="0A1F2819">
      <w:pPr>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lang w:val="en-US" w:eastAsia="zh-CN"/>
        </w:rPr>
        <w:t>2.</w:t>
      </w:r>
      <w:r>
        <w:rPr>
          <w:rFonts w:hint="eastAsia"/>
        </w:rPr>
        <w:t>采样点位数量不满足相关要求；土壤和地下水布点位置不合理，未在最可能存在污染的区域布设采样点。</w:t>
      </w:r>
    </w:p>
    <w:p w14:paraId="2FCE1173">
      <w:pPr>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lang w:val="en-US" w:eastAsia="zh-CN"/>
        </w:rPr>
        <w:t>3.</w:t>
      </w:r>
      <w:r>
        <w:rPr>
          <w:rFonts w:hint="eastAsia"/>
        </w:rPr>
        <w:t>样品采集、保存、流转与运输过程操作不规范；样品数量不满足相关要求（包括现场和实验室质控样品数量）；样品不具有代表性（如样品的采集深度未根据潜在污染源埋深、潜在污染物迁移性及水文地质情况进行设置；根据现场快速检测仪结果和土壤岩芯照片，存在明显污染痕迹的土层未采样检测的情形）。</w:t>
      </w:r>
    </w:p>
    <w:p w14:paraId="25701E8C">
      <w:pPr>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lang w:val="en-US" w:eastAsia="zh-CN"/>
        </w:rPr>
        <w:t>4.</w:t>
      </w:r>
      <w:r>
        <w:rPr>
          <w:rFonts w:hint="eastAsia"/>
        </w:rPr>
        <w:t>检测方法不满足相关要求。</w:t>
      </w:r>
    </w:p>
    <w:p w14:paraId="2D0ABDAC">
      <w:pPr>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lang w:val="en-US" w:eastAsia="zh-CN"/>
        </w:rPr>
        <w:t>5.</w:t>
      </w:r>
      <w:r>
        <w:rPr>
          <w:rFonts w:hint="eastAsia"/>
        </w:rPr>
        <w:t>评价标准选取不正确。</w:t>
      </w:r>
    </w:p>
    <w:p w14:paraId="579D628D">
      <w:pPr>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lang w:val="en-US" w:eastAsia="zh-CN"/>
        </w:rPr>
        <w:t>6.</w:t>
      </w:r>
      <w:r>
        <w:rPr>
          <w:rFonts w:hint="eastAsia"/>
        </w:rPr>
        <w:t>调查结果与生态环境主管部门已掌握的环境监管和环境监测相关数据严重不符。</w:t>
      </w:r>
    </w:p>
    <w:p w14:paraId="709F08F1">
      <w:pPr>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lang w:val="en-US" w:eastAsia="zh-CN"/>
        </w:rPr>
        <w:t>7.</w:t>
      </w:r>
      <w:r>
        <w:rPr>
          <w:rFonts w:hint="eastAsia"/>
        </w:rPr>
        <w:t>调查结论不可信；报告中调查结论不清晰，未明确土壤或地下水超标污染物；地块性质判定结果与检测分析数据不匹配；污染范围划定不科学（若存在超标）；污染土方量及水方量估算不合理（若存在超标）。</w:t>
      </w:r>
    </w:p>
    <w:p w14:paraId="38D537DD">
      <w:pPr>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lang w:val="en-US" w:eastAsia="zh-CN"/>
        </w:rPr>
        <w:t>8.</w:t>
      </w:r>
      <w:r>
        <w:rPr>
          <w:rFonts w:hint="eastAsia"/>
        </w:rPr>
        <w:t>报告发现涉嫌弄虚作假行为（如：发现与他人串通伪造访谈记录和地块历史资料；遗漏特征污染物和重点污染区域；检测报告存在故意弄虚作假等）。</w:t>
      </w:r>
    </w:p>
    <w:p w14:paraId="67A4EC19">
      <w:pPr>
        <w:pageBreakBefore w:val="0"/>
        <w:widowControl w:val="0"/>
        <w:kinsoku/>
        <w:wordWrap/>
        <w:overflowPunct/>
        <w:topLinePunct w:val="0"/>
        <w:autoSpaceDE/>
        <w:autoSpaceDN/>
        <w:bidi w:val="0"/>
        <w:adjustRightInd/>
        <w:snapToGrid/>
        <w:spacing w:line="540" w:lineRule="exact"/>
        <w:textAlignment w:val="auto"/>
        <w:rPr>
          <w:rFonts w:ascii="方正仿宋_GB2312" w:hAnsi="方正仿宋_GB2312" w:eastAsia="方正仿宋_GB2312"/>
          <w:szCs w:val="32"/>
        </w:rPr>
      </w:pPr>
      <w:r>
        <w:rPr>
          <w:rFonts w:hint="eastAsia"/>
          <w:lang w:val="en-US" w:eastAsia="zh-CN"/>
        </w:rPr>
        <w:t>9.</w:t>
      </w:r>
      <w:r>
        <w:rPr>
          <w:rFonts w:hint="eastAsia"/>
        </w:rPr>
        <w:t>存在其他可能严重影响调查结论的情形。</w:t>
      </w:r>
    </w:p>
    <w:p w14:paraId="4438B5E4">
      <w:pPr>
        <w:pStyle w:val="3"/>
        <w:bidi w:val="0"/>
        <w:rPr>
          <w:rFonts w:hint="eastAsia"/>
          <w:lang w:val="en-US" w:eastAsia="zh-CN"/>
        </w:rPr>
      </w:pPr>
      <w:r>
        <w:t>三</w:t>
      </w:r>
      <w:r>
        <w:rPr>
          <w:rFonts w:hint="eastAsia"/>
          <w:lang w:eastAsia="zh-CN"/>
        </w:rPr>
        <w:t>、</w:t>
      </w:r>
      <w:r>
        <w:rPr>
          <w:rFonts w:hint="eastAsia"/>
          <w:lang w:val="en-US" w:eastAsia="zh-CN"/>
        </w:rPr>
        <w:t>综合评分</w:t>
      </w:r>
    </w:p>
    <w:p w14:paraId="0B1A8A21">
      <w:pPr>
        <w:pageBreakBefore w:val="0"/>
        <w:widowControl w:val="0"/>
        <w:kinsoku/>
        <w:wordWrap/>
        <w:overflowPunct/>
        <w:topLinePunct w:val="0"/>
        <w:autoSpaceDE/>
        <w:autoSpaceDN/>
        <w:bidi w:val="0"/>
        <w:adjustRightInd/>
        <w:snapToGrid/>
        <w:spacing w:line="540" w:lineRule="exact"/>
        <w:textAlignment w:val="auto"/>
      </w:pPr>
      <w:r>
        <w:rPr>
          <w:rFonts w:hint="eastAsia"/>
          <w:vertAlign w:val="baseline"/>
          <w:lang w:val="en-US" w:eastAsia="zh-CN"/>
        </w:rPr>
        <w:t>统计</w:t>
      </w:r>
      <w:r>
        <w:t>各单位年度得分，作为质量公开核心指标：</w:t>
      </w:r>
    </w:p>
    <w:p w14:paraId="3CC037AD">
      <w:pPr>
        <w:pageBreakBefore w:val="0"/>
        <w:widowControl w:val="0"/>
        <w:kinsoku/>
        <w:wordWrap/>
        <w:overflowPunct/>
        <w:topLinePunct w:val="0"/>
        <w:autoSpaceDE/>
        <w:autoSpaceDN/>
        <w:bidi w:val="0"/>
        <w:adjustRightInd/>
        <w:snapToGrid/>
        <w:spacing w:line="540" w:lineRule="exact"/>
        <w:textAlignment w:val="auto"/>
        <w:rPr>
          <w:rFonts w:hint="eastAsia"/>
          <w:highlight w:val="none"/>
          <w:vertAlign w:val="baseline"/>
          <w:lang w:val="en-US" w:eastAsia="zh-CN"/>
        </w:rPr>
      </w:pPr>
      <w:r>
        <w:rPr>
          <w:rFonts w:hint="eastAsia"/>
          <w:highlight w:val="none"/>
          <w:lang w:val="en-US" w:eastAsia="zh-CN"/>
        </w:rPr>
        <w:t>单次报告得分B=C</w:t>
      </w:r>
      <w:r>
        <w:rPr>
          <w:rFonts w:hint="eastAsia"/>
          <w:highlight w:val="none"/>
          <w:vertAlign w:val="subscript"/>
          <w:lang w:val="en-US" w:eastAsia="zh-CN"/>
        </w:rPr>
        <w:t>1</w:t>
      </w:r>
      <w:r>
        <w:rPr>
          <w:rFonts w:hint="eastAsia"/>
          <w:highlight w:val="none"/>
          <w:lang w:val="en-US" w:eastAsia="zh-CN"/>
        </w:rPr>
        <w:t>+C</w:t>
      </w:r>
      <w:r>
        <w:rPr>
          <w:rFonts w:hint="eastAsia"/>
          <w:highlight w:val="none"/>
          <w:vertAlign w:val="subscript"/>
          <w:lang w:val="en-US" w:eastAsia="zh-CN"/>
        </w:rPr>
        <w:t>2</w:t>
      </w:r>
      <w:r>
        <w:rPr>
          <w:rFonts w:hint="eastAsia"/>
          <w:highlight w:val="none"/>
          <w:lang w:val="en-US" w:eastAsia="zh-CN"/>
        </w:rPr>
        <w:t>+C</w:t>
      </w:r>
      <w:r>
        <w:rPr>
          <w:rFonts w:hint="eastAsia"/>
          <w:highlight w:val="none"/>
          <w:vertAlign w:val="subscript"/>
          <w:lang w:val="en-US" w:eastAsia="zh-CN"/>
        </w:rPr>
        <w:t>3</w:t>
      </w:r>
      <w:r>
        <w:rPr>
          <w:rFonts w:hint="eastAsia"/>
          <w:highlight w:val="none"/>
          <w:lang w:val="en-US" w:eastAsia="zh-CN"/>
        </w:rPr>
        <w:t>+C</w:t>
      </w:r>
      <w:r>
        <w:rPr>
          <w:rFonts w:hint="eastAsia"/>
          <w:highlight w:val="none"/>
          <w:vertAlign w:val="subscript"/>
          <w:lang w:val="en-US" w:eastAsia="zh-CN"/>
        </w:rPr>
        <w:t>4</w:t>
      </w:r>
      <w:r>
        <w:rPr>
          <w:rFonts w:hint="eastAsia"/>
          <w:highlight w:val="none"/>
          <w:lang w:val="en-US" w:eastAsia="zh-CN"/>
        </w:rPr>
        <w:t>+C</w:t>
      </w:r>
      <w:r>
        <w:rPr>
          <w:rFonts w:hint="eastAsia"/>
          <w:highlight w:val="none"/>
          <w:vertAlign w:val="subscript"/>
          <w:lang w:val="en-US" w:eastAsia="zh-CN"/>
        </w:rPr>
        <w:t>5</w:t>
      </w:r>
      <w:r>
        <w:rPr>
          <w:rFonts w:hint="eastAsia"/>
          <w:highlight w:val="none"/>
          <w:lang w:val="en-US" w:eastAsia="zh-CN"/>
        </w:rPr>
        <w:t>+C</w:t>
      </w:r>
      <w:r>
        <w:rPr>
          <w:rFonts w:hint="eastAsia"/>
          <w:highlight w:val="none"/>
          <w:vertAlign w:val="subscript"/>
          <w:lang w:val="en-US" w:eastAsia="zh-CN"/>
        </w:rPr>
        <w:t>6</w:t>
      </w:r>
    </w:p>
    <w:p w14:paraId="311F61AD">
      <w:pPr>
        <w:pageBreakBefore w:val="0"/>
        <w:widowControl w:val="0"/>
        <w:kinsoku/>
        <w:wordWrap/>
        <w:overflowPunct/>
        <w:topLinePunct w:val="0"/>
        <w:autoSpaceDE/>
        <w:autoSpaceDN/>
        <w:bidi w:val="0"/>
        <w:adjustRightInd/>
        <w:snapToGrid/>
        <w:spacing w:line="540" w:lineRule="exact"/>
        <w:textAlignment w:val="auto"/>
        <w:rPr>
          <w:rFonts w:hint="default"/>
          <w:highlight w:val="none"/>
          <w:lang w:val="en-US" w:eastAsia="zh-CN"/>
        </w:rPr>
      </w:pPr>
      <w:r>
        <w:rPr>
          <w:rFonts w:hint="eastAsia"/>
          <w:highlight w:val="none"/>
          <w:lang w:val="en-US" w:eastAsia="zh-CN"/>
        </w:rPr>
        <w:t>季度平均得分S=（B</w:t>
      </w:r>
      <w:r>
        <w:rPr>
          <w:rFonts w:hint="eastAsia"/>
          <w:highlight w:val="none"/>
          <w:vertAlign w:val="subscript"/>
          <w:lang w:val="en-US" w:eastAsia="zh-CN"/>
        </w:rPr>
        <w:t>1</w:t>
      </w:r>
      <w:r>
        <w:rPr>
          <w:rFonts w:hint="eastAsia"/>
          <w:highlight w:val="none"/>
          <w:lang w:val="en-US" w:eastAsia="zh-CN"/>
        </w:rPr>
        <w:t>+B</w:t>
      </w:r>
      <w:r>
        <w:rPr>
          <w:rFonts w:hint="eastAsia"/>
          <w:highlight w:val="none"/>
          <w:vertAlign w:val="subscript"/>
          <w:lang w:val="en-US" w:eastAsia="zh-CN"/>
        </w:rPr>
        <w:t>2</w:t>
      </w:r>
      <w:r>
        <w:rPr>
          <w:rFonts w:hint="eastAsia"/>
          <w:highlight w:val="none"/>
          <w:lang w:val="en-US" w:eastAsia="zh-CN"/>
        </w:rPr>
        <w:t>+……+B</w:t>
      </w:r>
      <w:r>
        <w:rPr>
          <w:rFonts w:hint="eastAsia"/>
          <w:highlight w:val="none"/>
          <w:vertAlign w:val="subscript"/>
          <w:lang w:val="en-US" w:eastAsia="zh-CN"/>
        </w:rPr>
        <w:t>N</w:t>
      </w:r>
      <w:r>
        <w:rPr>
          <w:rFonts w:hint="eastAsia"/>
          <w:highlight w:val="none"/>
          <w:lang w:val="en-US" w:eastAsia="zh-CN"/>
        </w:rPr>
        <w:t>）/N</w:t>
      </w:r>
    </w:p>
    <w:p w14:paraId="1C980ABB">
      <w:pPr>
        <w:pageBreakBefore w:val="0"/>
        <w:widowControl w:val="0"/>
        <w:kinsoku/>
        <w:wordWrap/>
        <w:overflowPunct/>
        <w:topLinePunct w:val="0"/>
        <w:autoSpaceDE/>
        <w:autoSpaceDN/>
        <w:bidi w:val="0"/>
        <w:adjustRightInd/>
        <w:snapToGrid/>
        <w:spacing w:line="540" w:lineRule="exact"/>
        <w:textAlignment w:val="auto"/>
        <w:rPr>
          <w:rFonts w:hint="default"/>
          <w:highlight w:val="none"/>
          <w:vertAlign w:val="baseline"/>
          <w:lang w:val="en-US"/>
        </w:rPr>
      </w:pPr>
      <w:r>
        <w:rPr>
          <w:rFonts w:hint="eastAsia"/>
          <w:highlight w:val="none"/>
          <w:vertAlign w:val="baseline"/>
          <w:lang w:val="en-US" w:eastAsia="zh-CN"/>
        </w:rPr>
        <w:t>年度</w:t>
      </w:r>
      <w:r>
        <w:rPr>
          <w:rFonts w:hint="eastAsia"/>
          <w:highlight w:val="none"/>
          <w:lang w:val="en-US" w:eastAsia="zh-CN"/>
        </w:rPr>
        <w:t>平均</w:t>
      </w:r>
      <w:r>
        <w:rPr>
          <w:rFonts w:hint="eastAsia"/>
          <w:highlight w:val="none"/>
          <w:vertAlign w:val="baseline"/>
          <w:lang w:val="en-US" w:eastAsia="zh-CN"/>
        </w:rPr>
        <w:t>得分Y=</w:t>
      </w:r>
      <w:r>
        <w:rPr>
          <w:rFonts w:hint="eastAsia"/>
          <w:highlight w:val="none"/>
          <w:lang w:val="en-US" w:eastAsia="zh-CN"/>
        </w:rPr>
        <w:t>（B</w:t>
      </w:r>
      <w:r>
        <w:rPr>
          <w:rFonts w:hint="eastAsia"/>
          <w:highlight w:val="none"/>
          <w:vertAlign w:val="subscript"/>
          <w:lang w:val="en-US" w:eastAsia="zh-CN"/>
        </w:rPr>
        <w:t>1</w:t>
      </w:r>
      <w:r>
        <w:rPr>
          <w:rFonts w:hint="eastAsia"/>
          <w:highlight w:val="none"/>
          <w:lang w:val="en-US" w:eastAsia="zh-CN"/>
        </w:rPr>
        <w:t>+B</w:t>
      </w:r>
      <w:r>
        <w:rPr>
          <w:rFonts w:hint="eastAsia"/>
          <w:highlight w:val="none"/>
          <w:vertAlign w:val="subscript"/>
          <w:lang w:val="en-US" w:eastAsia="zh-CN"/>
        </w:rPr>
        <w:t>2</w:t>
      </w:r>
      <w:r>
        <w:rPr>
          <w:rFonts w:hint="eastAsia"/>
          <w:highlight w:val="none"/>
          <w:lang w:val="en-US" w:eastAsia="zh-CN"/>
        </w:rPr>
        <w:t>+……+B</w:t>
      </w:r>
      <w:r>
        <w:rPr>
          <w:rFonts w:hint="eastAsia"/>
          <w:highlight w:val="none"/>
          <w:vertAlign w:val="subscript"/>
          <w:lang w:val="en-US" w:eastAsia="zh-CN"/>
        </w:rPr>
        <w:t>Q</w:t>
      </w:r>
      <w:r>
        <w:rPr>
          <w:rFonts w:hint="eastAsia"/>
          <w:highlight w:val="none"/>
          <w:lang w:val="en-US" w:eastAsia="zh-CN"/>
        </w:rPr>
        <w:t>）/Q</w:t>
      </w:r>
    </w:p>
    <w:p w14:paraId="50E5409F">
      <w:pPr>
        <w:pageBreakBefore w:val="0"/>
        <w:widowControl w:val="0"/>
        <w:kinsoku/>
        <w:wordWrap/>
        <w:overflowPunct/>
        <w:topLinePunct w:val="0"/>
        <w:autoSpaceDE/>
        <w:autoSpaceDN/>
        <w:bidi w:val="0"/>
        <w:adjustRightInd/>
        <w:snapToGrid/>
        <w:spacing w:line="540" w:lineRule="exact"/>
        <w:textAlignment w:val="auto"/>
        <w:rPr>
          <w:rFonts w:hint="eastAsia"/>
          <w:lang w:val="en-US" w:eastAsia="zh-CN"/>
        </w:rPr>
      </w:pPr>
      <w:r>
        <w:rPr>
          <w:rFonts w:hint="eastAsia"/>
          <w:lang w:val="en-US" w:eastAsia="zh-CN"/>
        </w:rPr>
        <w:t>公式中具体指标如下：</w:t>
      </w:r>
    </w:p>
    <w:p w14:paraId="4BFD2601">
      <w:pPr>
        <w:pageBreakBefore w:val="0"/>
        <w:widowControl w:val="0"/>
        <w:kinsoku/>
        <w:wordWrap/>
        <w:overflowPunct/>
        <w:topLinePunct w:val="0"/>
        <w:autoSpaceDE/>
        <w:autoSpaceDN/>
        <w:bidi w:val="0"/>
        <w:adjustRightInd/>
        <w:snapToGrid/>
        <w:spacing w:line="540" w:lineRule="exact"/>
        <w:textAlignment w:val="auto"/>
      </w:pPr>
      <w:r>
        <w:rPr>
          <w:rFonts w:hint="eastAsia"/>
          <w:lang w:val="en-US" w:eastAsia="zh-CN"/>
        </w:rPr>
        <w:t>C</w:t>
      </w:r>
      <w:r>
        <w:rPr>
          <w:rFonts w:hint="eastAsia"/>
          <w:vertAlign w:val="subscript"/>
          <w:lang w:val="en-US" w:eastAsia="zh-CN"/>
        </w:rPr>
        <w:t>1</w:t>
      </w:r>
      <w:r>
        <w:rPr>
          <w:rFonts w:hint="eastAsia"/>
          <w:vertAlign w:val="baseline"/>
          <w:lang w:val="en-US" w:eastAsia="zh-CN"/>
        </w:rPr>
        <w:t>——</w:t>
      </w:r>
      <w:r>
        <w:t>地块基础信息、现场踏勘与资料收集（15分）；</w:t>
      </w:r>
    </w:p>
    <w:p w14:paraId="70725C42">
      <w:pPr>
        <w:pageBreakBefore w:val="0"/>
        <w:widowControl w:val="0"/>
        <w:kinsoku/>
        <w:wordWrap/>
        <w:overflowPunct/>
        <w:topLinePunct w:val="0"/>
        <w:autoSpaceDE/>
        <w:autoSpaceDN/>
        <w:bidi w:val="0"/>
        <w:adjustRightInd/>
        <w:snapToGrid/>
        <w:spacing w:line="540" w:lineRule="exact"/>
        <w:textAlignment w:val="auto"/>
      </w:pPr>
      <w:r>
        <w:rPr>
          <w:rFonts w:hint="eastAsia"/>
          <w:lang w:val="en-US" w:eastAsia="zh-CN"/>
        </w:rPr>
        <w:t>C</w:t>
      </w:r>
      <w:r>
        <w:rPr>
          <w:rFonts w:hint="eastAsia"/>
          <w:vertAlign w:val="subscript"/>
          <w:lang w:val="en-US" w:eastAsia="zh-CN"/>
        </w:rPr>
        <w:t>2</w:t>
      </w:r>
      <w:r>
        <w:rPr>
          <w:rFonts w:hint="eastAsia"/>
          <w:vertAlign w:val="baseline"/>
          <w:lang w:val="en-US" w:eastAsia="zh-CN"/>
        </w:rPr>
        <w:t>——</w:t>
      </w:r>
      <w:r>
        <w:t>污染源识别、布点方案、现场采样实施（30分）；</w:t>
      </w:r>
    </w:p>
    <w:p w14:paraId="4E6737B8">
      <w:pPr>
        <w:pageBreakBefore w:val="0"/>
        <w:widowControl w:val="0"/>
        <w:kinsoku/>
        <w:wordWrap/>
        <w:overflowPunct/>
        <w:topLinePunct w:val="0"/>
        <w:autoSpaceDE/>
        <w:autoSpaceDN/>
        <w:bidi w:val="0"/>
        <w:adjustRightInd/>
        <w:snapToGrid/>
        <w:spacing w:line="540" w:lineRule="exact"/>
        <w:textAlignment w:val="auto"/>
      </w:pPr>
      <w:r>
        <w:rPr>
          <w:rFonts w:hint="eastAsia"/>
          <w:lang w:val="en-US" w:eastAsia="zh-CN"/>
        </w:rPr>
        <w:t>C</w:t>
      </w:r>
      <w:r>
        <w:rPr>
          <w:rFonts w:hint="eastAsia"/>
          <w:vertAlign w:val="subscript"/>
          <w:lang w:val="en-US" w:eastAsia="zh-CN"/>
        </w:rPr>
        <w:t>3</w:t>
      </w:r>
      <w:r>
        <w:rPr>
          <w:rFonts w:hint="eastAsia"/>
          <w:vertAlign w:val="baseline"/>
          <w:lang w:val="en-US" w:eastAsia="zh-CN"/>
        </w:rPr>
        <w:t>——</w:t>
      </w:r>
      <w:r>
        <w:t>实验室检测、全流程质控、CMA资质合规性（20分）；</w:t>
      </w:r>
    </w:p>
    <w:p w14:paraId="70126A1F">
      <w:pPr>
        <w:pageBreakBefore w:val="0"/>
        <w:widowControl w:val="0"/>
        <w:kinsoku/>
        <w:wordWrap/>
        <w:overflowPunct/>
        <w:topLinePunct w:val="0"/>
        <w:autoSpaceDE/>
        <w:autoSpaceDN/>
        <w:bidi w:val="0"/>
        <w:adjustRightInd/>
        <w:snapToGrid/>
        <w:spacing w:line="540" w:lineRule="exact"/>
        <w:textAlignment w:val="auto"/>
      </w:pPr>
      <w:r>
        <w:rPr>
          <w:rFonts w:hint="eastAsia"/>
          <w:lang w:val="en-US" w:eastAsia="zh-CN"/>
        </w:rPr>
        <w:t>C</w:t>
      </w:r>
      <w:r>
        <w:rPr>
          <w:rFonts w:hint="eastAsia"/>
          <w:vertAlign w:val="subscript"/>
          <w:lang w:val="en-US" w:eastAsia="zh-CN"/>
        </w:rPr>
        <w:t>4</w:t>
      </w:r>
      <w:r>
        <w:rPr>
          <w:rFonts w:hint="eastAsia"/>
          <w:vertAlign w:val="baseline"/>
          <w:lang w:val="en-US" w:eastAsia="zh-CN"/>
        </w:rPr>
        <w:t>——</w:t>
      </w:r>
      <w:r>
        <w:t>检测数据汇总、分析与标准选用（10分）；</w:t>
      </w:r>
    </w:p>
    <w:p w14:paraId="08497383">
      <w:pPr>
        <w:pageBreakBefore w:val="0"/>
        <w:widowControl w:val="0"/>
        <w:kinsoku/>
        <w:wordWrap/>
        <w:overflowPunct/>
        <w:topLinePunct w:val="0"/>
        <w:autoSpaceDE/>
        <w:autoSpaceDN/>
        <w:bidi w:val="0"/>
        <w:adjustRightInd/>
        <w:snapToGrid/>
        <w:spacing w:line="540" w:lineRule="exact"/>
        <w:textAlignment w:val="auto"/>
      </w:pPr>
      <w:r>
        <w:rPr>
          <w:rFonts w:hint="eastAsia"/>
          <w:lang w:val="en-US" w:eastAsia="zh-CN"/>
        </w:rPr>
        <w:t>C</w:t>
      </w:r>
      <w:r>
        <w:rPr>
          <w:rFonts w:hint="eastAsia"/>
          <w:vertAlign w:val="subscript"/>
          <w:lang w:val="en-US" w:eastAsia="zh-CN"/>
        </w:rPr>
        <w:t>5</w:t>
      </w:r>
      <w:r>
        <w:rPr>
          <w:rFonts w:hint="eastAsia"/>
          <w:vertAlign w:val="baseline"/>
          <w:lang w:val="en-US" w:eastAsia="zh-CN"/>
        </w:rPr>
        <w:t>——</w:t>
      </w:r>
      <w:r>
        <w:t>不确定性分析、地块综合调查结论及管控建议（20分）；</w:t>
      </w:r>
    </w:p>
    <w:p w14:paraId="3F20D1EE">
      <w:pPr>
        <w:pageBreakBefore w:val="0"/>
        <w:widowControl w:val="0"/>
        <w:kinsoku/>
        <w:wordWrap/>
        <w:overflowPunct/>
        <w:topLinePunct w:val="0"/>
        <w:autoSpaceDE/>
        <w:autoSpaceDN/>
        <w:bidi w:val="0"/>
        <w:adjustRightInd/>
        <w:snapToGrid/>
        <w:spacing w:line="540" w:lineRule="exact"/>
        <w:textAlignment w:val="auto"/>
      </w:pPr>
      <w:r>
        <w:rPr>
          <w:rFonts w:hint="eastAsia"/>
          <w:lang w:val="en-US" w:eastAsia="zh-CN"/>
        </w:rPr>
        <w:t>C</w:t>
      </w:r>
      <w:r>
        <w:rPr>
          <w:rFonts w:hint="eastAsia"/>
          <w:vertAlign w:val="subscript"/>
          <w:lang w:val="en-US" w:eastAsia="zh-CN"/>
        </w:rPr>
        <w:t>6</w:t>
      </w:r>
      <w:r>
        <w:rPr>
          <w:rFonts w:hint="eastAsia"/>
          <w:vertAlign w:val="baseline"/>
          <w:lang w:val="en-US" w:eastAsia="zh-CN"/>
        </w:rPr>
        <w:t>——</w:t>
      </w:r>
      <w:r>
        <w:t>附图、附件、佐证材料完整性（5分）；</w:t>
      </w:r>
    </w:p>
    <w:p w14:paraId="2FFEB3FD">
      <w:pPr>
        <w:pageBreakBefore w:val="0"/>
        <w:widowControl w:val="0"/>
        <w:kinsoku/>
        <w:wordWrap/>
        <w:overflowPunct/>
        <w:topLinePunct w:val="0"/>
        <w:autoSpaceDE/>
        <w:autoSpaceDN/>
        <w:bidi w:val="0"/>
        <w:adjustRightInd/>
        <w:snapToGrid/>
        <w:spacing w:line="540" w:lineRule="exact"/>
        <w:textAlignment w:val="auto"/>
        <w:rPr>
          <w:rFonts w:hint="default" w:eastAsia="仿宋_GB2312"/>
          <w:highlight w:val="none"/>
          <w:lang w:val="en-US" w:eastAsia="zh-CN"/>
        </w:rPr>
      </w:pPr>
      <w:r>
        <w:rPr>
          <w:rFonts w:hint="eastAsia"/>
          <w:highlight w:val="none"/>
          <w:vertAlign w:val="baseline"/>
          <w:lang w:val="en-US" w:eastAsia="zh-CN"/>
        </w:rPr>
        <w:t>N——当季报告数量</w:t>
      </w:r>
      <w:r>
        <w:rPr>
          <w:highlight w:val="none"/>
        </w:rPr>
        <w:t>；</w:t>
      </w:r>
    </w:p>
    <w:p w14:paraId="6690F8F1">
      <w:pPr>
        <w:pageBreakBefore w:val="0"/>
        <w:widowControl w:val="0"/>
        <w:kinsoku/>
        <w:wordWrap/>
        <w:overflowPunct/>
        <w:topLinePunct w:val="0"/>
        <w:autoSpaceDE/>
        <w:autoSpaceDN/>
        <w:bidi w:val="0"/>
        <w:adjustRightInd/>
        <w:snapToGrid/>
        <w:spacing w:line="540" w:lineRule="exact"/>
        <w:textAlignment w:val="auto"/>
        <w:rPr>
          <w:highlight w:val="none"/>
        </w:rPr>
      </w:pPr>
      <w:r>
        <w:rPr>
          <w:rFonts w:hint="eastAsia"/>
          <w:highlight w:val="none"/>
          <w:lang w:val="en-US" w:eastAsia="zh-CN"/>
        </w:rPr>
        <w:t>Q</w:t>
      </w:r>
      <w:r>
        <w:rPr>
          <w:rFonts w:hint="eastAsia"/>
          <w:highlight w:val="none"/>
          <w:vertAlign w:val="baseline"/>
          <w:lang w:val="en-US" w:eastAsia="zh-CN"/>
        </w:rPr>
        <w:t>——全年报告数量。</w:t>
      </w:r>
    </w:p>
    <w:p w14:paraId="41CA0209">
      <w:pPr>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宋体" w:cs="Times New Roman"/>
          <w:b/>
          <w:bCs/>
          <w:i w:val="0"/>
          <w:iCs w:val="0"/>
          <w:color w:val="auto"/>
          <w:kern w:val="2"/>
          <w:sz w:val="32"/>
          <w:szCs w:val="32"/>
          <w:highlight w:val="none"/>
          <w:vertAlign w:val="baseline"/>
          <w:lang w:val="en-US" w:eastAsia="zh-CN" w:bidi="ar-SA"/>
        </w:rPr>
      </w:pPr>
    </w:p>
    <w:p w14:paraId="4CD3BEDA">
      <w:pPr>
        <w:spacing w:line="240" w:lineRule="auto"/>
        <w:ind w:left="0" w:leftChars="0" w:firstLine="0" w:firstLineChars="0"/>
        <w:jc w:val="left"/>
        <w:rPr>
          <w:rFonts w:hint="default" w:ascii="Times New Roman" w:hAnsi="Times New Roman" w:eastAsia="宋体" w:cs="Times New Roman"/>
          <w:b/>
          <w:bCs/>
          <w:i w:val="0"/>
          <w:iCs w:val="0"/>
          <w:color w:val="auto"/>
          <w:kern w:val="2"/>
          <w:sz w:val="32"/>
          <w:szCs w:val="32"/>
          <w:highlight w:val="none"/>
          <w:vertAlign w:val="baseline"/>
          <w:lang w:val="en-US" w:eastAsia="zh-CN" w:bidi="ar-SA"/>
        </w:rPr>
      </w:pPr>
    </w:p>
    <w:p w14:paraId="48810A14">
      <w:pPr>
        <w:pStyle w:val="2"/>
        <w:rPr>
          <w:rFonts w:hint="default"/>
          <w:lang w:val="en-US" w:eastAsia="zh-CN"/>
        </w:rPr>
        <w:sectPr>
          <w:pgSz w:w="11906" w:h="16838"/>
          <w:pgMar w:top="1440" w:right="1800" w:bottom="1440" w:left="1800" w:header="851" w:footer="992" w:gutter="0"/>
          <w:cols w:space="425" w:num="1"/>
          <w:docGrid w:type="lines" w:linePitch="312" w:charSpace="0"/>
        </w:sectPr>
      </w:pPr>
    </w:p>
    <w:p w14:paraId="54390E47">
      <w:pPr>
        <w:spacing w:line="240" w:lineRule="auto"/>
        <w:ind w:firstLine="0" w:firstLineChars="0"/>
        <w:jc w:val="center"/>
        <w:rPr>
          <w:rFonts w:ascii="Times New Roman" w:hAnsi="Times New Roman" w:eastAsia="宋体" w:cs="Times New Roman"/>
          <w:sz w:val="21"/>
          <w:szCs w:val="24"/>
        </w:rPr>
      </w:pPr>
      <w:r>
        <w:rPr>
          <w:rFonts w:ascii="Times New Roman" w:hAnsi="Times New Roman" w:eastAsia="宋体" w:cs="Times New Roman"/>
          <w:b/>
          <w:bCs/>
          <w:sz w:val="32"/>
          <w:szCs w:val="32"/>
        </w:rPr>
        <w:t>土壤污染状况调查报告评审打分表</w:t>
      </w:r>
    </w:p>
    <w:tbl>
      <w:tblPr>
        <w:tblStyle w:val="8"/>
        <w:tblW w:w="9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6866"/>
        <w:gridCol w:w="1050"/>
      </w:tblGrid>
      <w:tr w14:paraId="50B5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053" w:type="dxa"/>
            <w:vAlign w:val="center"/>
          </w:tcPr>
          <w:p w14:paraId="76D26F24">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b/>
                <w:bCs/>
                <w:sz w:val="24"/>
                <w:szCs w:val="24"/>
              </w:rPr>
            </w:pPr>
            <w:r>
              <w:rPr>
                <w:rFonts w:ascii="Times New Roman" w:hAnsi="Times New Roman" w:eastAsia="仿宋_GB2312" w:cs="Times New Roman"/>
                <w:b/>
                <w:bCs/>
                <w:kern w:val="0"/>
                <w:sz w:val="24"/>
                <w:szCs w:val="24"/>
              </w:rPr>
              <w:t>分类</w:t>
            </w:r>
          </w:p>
        </w:tc>
        <w:tc>
          <w:tcPr>
            <w:tcW w:w="6866" w:type="dxa"/>
            <w:vAlign w:val="center"/>
          </w:tcPr>
          <w:p w14:paraId="191E1CE9">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b/>
                <w:bCs/>
                <w:sz w:val="24"/>
                <w:szCs w:val="24"/>
              </w:rPr>
            </w:pPr>
            <w:r>
              <w:rPr>
                <w:rFonts w:ascii="Times New Roman" w:hAnsi="Times New Roman" w:eastAsia="仿宋_GB2312" w:cs="Times New Roman"/>
                <w:b/>
                <w:bCs/>
                <w:kern w:val="0"/>
                <w:sz w:val="24"/>
                <w:szCs w:val="24"/>
              </w:rPr>
              <w:t>考核内容</w:t>
            </w:r>
          </w:p>
        </w:tc>
        <w:tc>
          <w:tcPr>
            <w:tcW w:w="1050" w:type="dxa"/>
            <w:vAlign w:val="center"/>
          </w:tcPr>
          <w:p w14:paraId="444C56E1">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b/>
                <w:bCs/>
                <w:sz w:val="24"/>
                <w:szCs w:val="24"/>
              </w:rPr>
            </w:pPr>
            <w:r>
              <w:rPr>
                <w:rFonts w:ascii="Times New Roman" w:hAnsi="Times New Roman" w:eastAsia="仿宋_GB2312" w:cs="Times New Roman"/>
                <w:b/>
                <w:bCs/>
                <w:kern w:val="0"/>
                <w:sz w:val="24"/>
                <w:szCs w:val="24"/>
              </w:rPr>
              <w:t>评分</w:t>
            </w:r>
          </w:p>
        </w:tc>
      </w:tr>
      <w:tr w14:paraId="7CA7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053" w:type="dxa"/>
            <w:vAlign w:val="center"/>
          </w:tcPr>
          <w:p w14:paraId="5A1B7C38">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b/>
                <w:bCs/>
                <w:kern w:val="0"/>
                <w:sz w:val="24"/>
                <w:szCs w:val="24"/>
              </w:rPr>
            </w:pPr>
            <w:r>
              <w:rPr>
                <w:rFonts w:hint="eastAsia" w:ascii="Times New Roman" w:hAnsi="Times New Roman" w:eastAsia="仿宋_GB2312" w:cs="Times New Roman"/>
                <w:b/>
                <w:bCs/>
                <w:kern w:val="0"/>
                <w:sz w:val="24"/>
                <w:szCs w:val="24"/>
              </w:rPr>
              <w:t>一票否决</w:t>
            </w:r>
          </w:p>
        </w:tc>
        <w:tc>
          <w:tcPr>
            <w:tcW w:w="6866" w:type="dxa"/>
            <w:vAlign w:val="center"/>
          </w:tcPr>
          <w:p w14:paraId="502CD46A">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是否存在</w:t>
            </w:r>
            <w:r>
              <w:rPr>
                <w:rFonts w:hint="eastAsia" w:ascii="Times New Roman" w:hAnsi="Times New Roman" w:eastAsia="仿宋_GB2312" w:cs="Times New Roman"/>
                <w:b/>
                <w:bCs/>
                <w:kern w:val="0"/>
                <w:sz w:val="24"/>
                <w:szCs w:val="24"/>
              </w:rPr>
              <w:t>“一票否决”项</w:t>
            </w:r>
          </w:p>
        </w:tc>
        <w:tc>
          <w:tcPr>
            <w:tcW w:w="1050" w:type="dxa"/>
            <w:vAlign w:val="center"/>
          </w:tcPr>
          <w:p w14:paraId="2A53B9D2">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b/>
                <w:bCs/>
                <w:kern w:val="0"/>
                <w:sz w:val="24"/>
                <w:szCs w:val="24"/>
              </w:rPr>
            </w:pPr>
          </w:p>
        </w:tc>
      </w:tr>
      <w:tr w14:paraId="15E8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053" w:type="dxa"/>
            <w:vMerge w:val="restart"/>
            <w:vAlign w:val="center"/>
          </w:tcPr>
          <w:p w14:paraId="28ECE260">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hint="eastAsia" w:ascii="Times New Roman" w:hAnsi="Times New Roman" w:eastAsia="仿宋_GB2312" w:cs="Times New Roman"/>
                <w:kern w:val="0"/>
                <w:sz w:val="24"/>
                <w:szCs w:val="24"/>
                <w:lang w:val="en-US" w:eastAsia="zh-CN"/>
              </w:rPr>
            </w:pPr>
            <w:r>
              <w:rPr>
                <w:rFonts w:hint="eastAsia"/>
                <w:sz w:val="24"/>
                <w:szCs w:val="24"/>
                <w:lang w:val="en-US" w:eastAsia="zh-CN"/>
              </w:rPr>
              <w:t>C</w:t>
            </w:r>
            <w:r>
              <w:rPr>
                <w:rFonts w:hint="eastAsia"/>
                <w:sz w:val="24"/>
                <w:szCs w:val="24"/>
                <w:vertAlign w:val="subscript"/>
                <w:lang w:val="en-US" w:eastAsia="zh-CN"/>
              </w:rPr>
              <w:t>1</w:t>
            </w:r>
            <w:r>
              <w:rPr>
                <w:rFonts w:hint="eastAsia"/>
                <w:sz w:val="24"/>
                <w:szCs w:val="24"/>
                <w:vertAlign w:val="baseline"/>
                <w:lang w:val="en-US" w:eastAsia="zh-CN"/>
              </w:rPr>
              <w:t>—</w:t>
            </w:r>
            <w:r>
              <w:rPr>
                <w:rFonts w:ascii="Times New Roman" w:hAnsi="Times New Roman" w:eastAsia="仿宋_GB2312" w:cs="Times New Roman"/>
                <w:kern w:val="0"/>
                <w:sz w:val="24"/>
                <w:szCs w:val="24"/>
              </w:rPr>
              <w:t>现场踏勘及资料收集</w:t>
            </w:r>
          </w:p>
          <w:p w14:paraId="084CA650">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（15分）</w:t>
            </w:r>
          </w:p>
        </w:tc>
        <w:tc>
          <w:tcPr>
            <w:tcW w:w="6866" w:type="dxa"/>
            <w:vAlign w:val="center"/>
          </w:tcPr>
          <w:p w14:paraId="6BDA222C">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1.</w:t>
            </w:r>
            <w:r>
              <w:rPr>
                <w:rFonts w:hint="default" w:ascii="宋体" w:hAnsi="宋体" w:eastAsia="仿宋_GB2312" w:cs="宋体"/>
                <w:color w:val="000000"/>
                <w:sz w:val="24"/>
                <w:szCs w:val="28"/>
                <w:u w:val="none"/>
              </w:rPr>
              <w:t>地块基本信息是否表述完整并符合要求</w:t>
            </w:r>
          </w:p>
        </w:tc>
        <w:tc>
          <w:tcPr>
            <w:tcW w:w="1050" w:type="dxa"/>
            <w:vMerge w:val="restart"/>
            <w:vAlign w:val="center"/>
          </w:tcPr>
          <w:p w14:paraId="53BF39B1">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26F5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053" w:type="dxa"/>
            <w:vMerge w:val="continue"/>
            <w:vAlign w:val="center"/>
          </w:tcPr>
          <w:p w14:paraId="1CFDFC42">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p>
        </w:tc>
        <w:tc>
          <w:tcPr>
            <w:tcW w:w="6866" w:type="dxa"/>
            <w:vAlign w:val="center"/>
          </w:tcPr>
          <w:p w14:paraId="0AEE94D9">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2.场地自然环境是否表述完整并符合要求</w:t>
            </w:r>
          </w:p>
        </w:tc>
        <w:tc>
          <w:tcPr>
            <w:tcW w:w="1050" w:type="dxa"/>
            <w:vMerge w:val="continue"/>
            <w:vAlign w:val="center"/>
          </w:tcPr>
          <w:p w14:paraId="0B35CCF5">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7108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053" w:type="dxa"/>
            <w:vMerge w:val="continue"/>
            <w:vAlign w:val="center"/>
          </w:tcPr>
          <w:p w14:paraId="5090462F">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p>
        </w:tc>
        <w:tc>
          <w:tcPr>
            <w:tcW w:w="6866" w:type="dxa"/>
            <w:vAlign w:val="center"/>
          </w:tcPr>
          <w:p w14:paraId="4DB7DE3C">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ascii="Times New Roman" w:hAnsi="Times New Roman" w:eastAsia="仿宋_GB2312" w:cs="Times New Roman"/>
                <w:sz w:val="24"/>
                <w:szCs w:val="24"/>
              </w:rPr>
              <w:t>3.地块周边情况调查是否全面准确</w:t>
            </w:r>
          </w:p>
        </w:tc>
        <w:tc>
          <w:tcPr>
            <w:tcW w:w="1050" w:type="dxa"/>
            <w:vMerge w:val="continue"/>
            <w:vAlign w:val="center"/>
          </w:tcPr>
          <w:p w14:paraId="7655ABAC">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0C1D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053" w:type="dxa"/>
            <w:vMerge w:val="continue"/>
            <w:vAlign w:val="center"/>
          </w:tcPr>
          <w:p w14:paraId="187007C8">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p>
        </w:tc>
        <w:tc>
          <w:tcPr>
            <w:tcW w:w="6866" w:type="dxa"/>
            <w:vAlign w:val="center"/>
          </w:tcPr>
          <w:p w14:paraId="127F7A9C">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4.人员访谈是否完整、准确</w:t>
            </w:r>
          </w:p>
        </w:tc>
        <w:tc>
          <w:tcPr>
            <w:tcW w:w="1050" w:type="dxa"/>
            <w:vMerge w:val="continue"/>
            <w:vAlign w:val="center"/>
          </w:tcPr>
          <w:p w14:paraId="3189CB98">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11FD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053" w:type="dxa"/>
            <w:vMerge w:val="restart"/>
            <w:vAlign w:val="center"/>
          </w:tcPr>
          <w:p w14:paraId="48B6D605">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r>
              <w:rPr>
                <w:rFonts w:hint="eastAsia"/>
                <w:sz w:val="24"/>
                <w:szCs w:val="24"/>
                <w:lang w:val="en-US" w:eastAsia="zh-CN"/>
              </w:rPr>
              <w:t>C</w:t>
            </w:r>
            <w:r>
              <w:rPr>
                <w:rFonts w:hint="eastAsia"/>
                <w:sz w:val="24"/>
                <w:szCs w:val="24"/>
                <w:vertAlign w:val="subscript"/>
                <w:lang w:val="en-US" w:eastAsia="zh-CN"/>
              </w:rPr>
              <w:t>2</w:t>
            </w:r>
            <w:r>
              <w:rPr>
                <w:rFonts w:hint="eastAsia"/>
                <w:sz w:val="24"/>
                <w:szCs w:val="24"/>
                <w:vertAlign w:val="baseline"/>
                <w:lang w:val="en-US" w:eastAsia="zh-CN"/>
              </w:rPr>
              <w:t>—</w:t>
            </w:r>
            <w:r>
              <w:rPr>
                <w:rFonts w:ascii="Times New Roman" w:hAnsi="Times New Roman" w:eastAsia="仿宋_GB2312" w:cs="Times New Roman"/>
                <w:kern w:val="0"/>
                <w:sz w:val="24"/>
                <w:szCs w:val="24"/>
              </w:rPr>
              <w:t>调查与现场采样</w:t>
            </w:r>
          </w:p>
          <w:p w14:paraId="35700B99">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（30分）</w:t>
            </w:r>
          </w:p>
        </w:tc>
        <w:tc>
          <w:tcPr>
            <w:tcW w:w="6866" w:type="dxa"/>
            <w:vAlign w:val="center"/>
          </w:tcPr>
          <w:p w14:paraId="4B1E0F04">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hint="default" w:ascii="宋体" w:hAnsi="宋体" w:eastAsia="仿宋_GB2312" w:cs="宋体"/>
                <w:color w:val="000000"/>
                <w:sz w:val="24"/>
                <w:szCs w:val="28"/>
                <w:u w:val="none"/>
              </w:rPr>
              <w:t>1.特征</w:t>
            </w:r>
            <w:r>
              <w:rPr>
                <w:rFonts w:hint="default" w:ascii="Times New Roman" w:hAnsi="Times New Roman" w:eastAsia="仿宋_GB2312" w:cs="Times New Roman"/>
                <w:color w:val="000000"/>
                <w:sz w:val="24"/>
                <w:szCs w:val="28"/>
                <w:u w:val="none"/>
              </w:rPr>
              <w:t>污染</w:t>
            </w:r>
            <w:r>
              <w:rPr>
                <w:rFonts w:hint="default" w:ascii="宋体" w:hAnsi="宋体" w:eastAsia="仿宋_GB2312" w:cs="宋体"/>
                <w:color w:val="000000"/>
                <w:sz w:val="24"/>
                <w:szCs w:val="28"/>
                <w:u w:val="none"/>
              </w:rPr>
              <w:t>物</w:t>
            </w:r>
            <w:r>
              <w:rPr>
                <w:rFonts w:hint="default" w:ascii="Times New Roman" w:hAnsi="Times New Roman" w:eastAsia="仿宋_GB2312" w:cs="Times New Roman"/>
                <w:color w:val="000000"/>
                <w:sz w:val="24"/>
                <w:szCs w:val="28"/>
                <w:u w:val="none"/>
              </w:rPr>
              <w:t>识别是否准确</w:t>
            </w:r>
            <w:r>
              <w:rPr>
                <w:rFonts w:hint="default" w:ascii="宋体" w:hAnsi="宋体" w:eastAsia="仿宋_GB2312" w:cs="宋体"/>
                <w:color w:val="000000"/>
                <w:sz w:val="24"/>
                <w:szCs w:val="28"/>
                <w:u w:val="none"/>
              </w:rPr>
              <w:t>、</w:t>
            </w:r>
            <w:r>
              <w:rPr>
                <w:rFonts w:hint="default" w:ascii="Times New Roman" w:hAnsi="Times New Roman" w:eastAsia="仿宋_GB2312" w:cs="Times New Roman"/>
                <w:color w:val="000000"/>
                <w:sz w:val="24"/>
                <w:szCs w:val="28"/>
                <w:u w:val="none"/>
              </w:rPr>
              <w:t>检测指标是否全面</w:t>
            </w:r>
          </w:p>
        </w:tc>
        <w:tc>
          <w:tcPr>
            <w:tcW w:w="1050" w:type="dxa"/>
            <w:vMerge w:val="restart"/>
            <w:vAlign w:val="center"/>
          </w:tcPr>
          <w:p w14:paraId="40112F7A">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4B90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53" w:type="dxa"/>
            <w:vMerge w:val="continue"/>
            <w:vAlign w:val="center"/>
          </w:tcPr>
          <w:p w14:paraId="72B96B5D">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p>
        </w:tc>
        <w:tc>
          <w:tcPr>
            <w:tcW w:w="6866" w:type="dxa"/>
            <w:vAlign w:val="center"/>
          </w:tcPr>
          <w:p w14:paraId="61C69751">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2.关注污染物和重点污染区分析</w:t>
            </w:r>
            <w:r>
              <w:rPr>
                <w:rFonts w:hint="eastAsia" w:ascii="Times New Roman" w:hAnsi="Times New Roman" w:eastAsia="仿宋_GB2312" w:cs="Times New Roman"/>
                <w:color w:val="000000"/>
                <w:sz w:val="24"/>
                <w:szCs w:val="28"/>
                <w:u w:val="none"/>
              </w:rPr>
              <w:t>是</w:t>
            </w:r>
            <w:r>
              <w:rPr>
                <w:rFonts w:hint="default" w:ascii="Times New Roman" w:hAnsi="Times New Roman" w:eastAsia="仿宋_GB2312" w:cs="Times New Roman"/>
                <w:color w:val="000000"/>
                <w:sz w:val="24"/>
                <w:szCs w:val="28"/>
                <w:u w:val="none"/>
              </w:rPr>
              <w:t>否表述完整并符合要求</w:t>
            </w:r>
          </w:p>
        </w:tc>
        <w:tc>
          <w:tcPr>
            <w:tcW w:w="1050" w:type="dxa"/>
            <w:vMerge w:val="continue"/>
            <w:vAlign w:val="center"/>
          </w:tcPr>
          <w:p w14:paraId="6A4AC95D">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1DF2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2053" w:type="dxa"/>
            <w:vMerge w:val="continue"/>
            <w:vAlign w:val="center"/>
          </w:tcPr>
          <w:p w14:paraId="5A720473">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p>
        </w:tc>
        <w:tc>
          <w:tcPr>
            <w:tcW w:w="6866" w:type="dxa"/>
            <w:vAlign w:val="center"/>
          </w:tcPr>
          <w:p w14:paraId="2F1DABF4">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3.</w:t>
            </w:r>
            <w:r>
              <w:rPr>
                <w:rFonts w:hint="default" w:ascii="宋体" w:hAnsi="宋体" w:eastAsia="仿宋_GB2312" w:cs="宋体"/>
                <w:color w:val="000000"/>
                <w:sz w:val="24"/>
                <w:szCs w:val="28"/>
                <w:u w:val="none"/>
              </w:rPr>
              <w:t>布点方案是否科学规范、方案分析是否合理</w:t>
            </w:r>
          </w:p>
        </w:tc>
        <w:tc>
          <w:tcPr>
            <w:tcW w:w="1050" w:type="dxa"/>
            <w:vMerge w:val="continue"/>
            <w:vAlign w:val="center"/>
          </w:tcPr>
          <w:p w14:paraId="309E285A">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02B3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053" w:type="dxa"/>
            <w:vMerge w:val="continue"/>
            <w:vAlign w:val="center"/>
          </w:tcPr>
          <w:p w14:paraId="42B5F939">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p>
        </w:tc>
        <w:tc>
          <w:tcPr>
            <w:tcW w:w="6866" w:type="dxa"/>
            <w:vAlign w:val="center"/>
          </w:tcPr>
          <w:p w14:paraId="193BEBE4">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4.</w:t>
            </w:r>
            <w:r>
              <w:rPr>
                <w:rFonts w:hint="default" w:ascii="宋体" w:hAnsi="宋体" w:eastAsia="仿宋_GB2312" w:cs="宋体"/>
                <w:color w:val="000000"/>
                <w:sz w:val="24"/>
                <w:szCs w:val="28"/>
                <w:u w:val="none"/>
              </w:rPr>
              <w:t>现场工作描述是否全面、准确</w:t>
            </w:r>
          </w:p>
        </w:tc>
        <w:tc>
          <w:tcPr>
            <w:tcW w:w="1050" w:type="dxa"/>
            <w:vMerge w:val="continue"/>
            <w:vAlign w:val="center"/>
          </w:tcPr>
          <w:p w14:paraId="2275764F">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6D2B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053" w:type="dxa"/>
            <w:vMerge w:val="restart"/>
            <w:vAlign w:val="center"/>
          </w:tcPr>
          <w:p w14:paraId="1707A4C6">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r>
              <w:rPr>
                <w:rFonts w:hint="eastAsia"/>
                <w:sz w:val="24"/>
                <w:szCs w:val="24"/>
                <w:lang w:val="en-US" w:eastAsia="zh-CN"/>
              </w:rPr>
              <w:t>C</w:t>
            </w:r>
            <w:r>
              <w:rPr>
                <w:rFonts w:hint="eastAsia"/>
                <w:sz w:val="24"/>
                <w:szCs w:val="24"/>
                <w:vertAlign w:val="subscript"/>
                <w:lang w:val="en-US" w:eastAsia="zh-CN"/>
              </w:rPr>
              <w:t>3</w:t>
            </w:r>
            <w:r>
              <w:rPr>
                <w:rFonts w:hint="eastAsia"/>
                <w:sz w:val="24"/>
                <w:szCs w:val="24"/>
                <w:vertAlign w:val="baseline"/>
                <w:lang w:val="en-US" w:eastAsia="zh-CN"/>
              </w:rPr>
              <w:t>—</w:t>
            </w:r>
            <w:r>
              <w:rPr>
                <w:rFonts w:ascii="Times New Roman" w:hAnsi="Times New Roman" w:eastAsia="仿宋_GB2312" w:cs="Times New Roman"/>
                <w:kern w:val="0"/>
                <w:sz w:val="24"/>
                <w:szCs w:val="24"/>
              </w:rPr>
              <w:t>检测及质控</w:t>
            </w:r>
          </w:p>
          <w:p w14:paraId="308D24F5">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（20分）</w:t>
            </w:r>
          </w:p>
        </w:tc>
        <w:tc>
          <w:tcPr>
            <w:tcW w:w="6866" w:type="dxa"/>
            <w:vAlign w:val="center"/>
          </w:tcPr>
          <w:p w14:paraId="203A71E9">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1.</w:t>
            </w:r>
            <w:r>
              <w:rPr>
                <w:rFonts w:hint="default" w:ascii="宋体" w:hAnsi="宋体" w:eastAsia="仿宋_GB2312" w:cs="宋体"/>
                <w:color w:val="000000"/>
                <w:sz w:val="24"/>
                <w:szCs w:val="28"/>
                <w:u w:val="none"/>
              </w:rPr>
              <w:t>样品保存、流转、运输过程是否科学规范</w:t>
            </w:r>
          </w:p>
        </w:tc>
        <w:tc>
          <w:tcPr>
            <w:tcW w:w="1050" w:type="dxa"/>
            <w:vMerge w:val="restart"/>
            <w:vAlign w:val="center"/>
          </w:tcPr>
          <w:p w14:paraId="6F89DCEE">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6AA7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053" w:type="dxa"/>
            <w:vMerge w:val="continue"/>
            <w:vAlign w:val="center"/>
          </w:tcPr>
          <w:p w14:paraId="6E564393">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p>
        </w:tc>
        <w:tc>
          <w:tcPr>
            <w:tcW w:w="6866" w:type="dxa"/>
            <w:vAlign w:val="center"/>
          </w:tcPr>
          <w:p w14:paraId="2E39A594">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2.</w:t>
            </w:r>
            <w:r>
              <w:rPr>
                <w:rFonts w:hint="default" w:ascii="宋体" w:hAnsi="宋体" w:eastAsia="仿宋_GB2312" w:cs="宋体"/>
                <w:color w:val="000000"/>
                <w:sz w:val="24"/>
                <w:szCs w:val="28"/>
                <w:u w:val="none"/>
              </w:rPr>
              <w:t>质量控制</w:t>
            </w:r>
            <w:r>
              <w:rPr>
                <w:rFonts w:hint="default" w:ascii="Times New Roman" w:hAnsi="Times New Roman" w:eastAsia="仿宋_GB2312" w:cs="Times New Roman"/>
                <w:color w:val="000000"/>
                <w:sz w:val="24"/>
                <w:szCs w:val="28"/>
                <w:u w:val="none"/>
              </w:rPr>
              <w:t>是否科学规范</w:t>
            </w:r>
          </w:p>
        </w:tc>
        <w:tc>
          <w:tcPr>
            <w:tcW w:w="1050" w:type="dxa"/>
            <w:vMerge w:val="continue"/>
            <w:vAlign w:val="center"/>
          </w:tcPr>
          <w:p w14:paraId="1C86F002">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2E84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053" w:type="dxa"/>
            <w:vMerge w:val="continue"/>
            <w:vAlign w:val="center"/>
          </w:tcPr>
          <w:p w14:paraId="7CED9D3D">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p>
        </w:tc>
        <w:tc>
          <w:tcPr>
            <w:tcW w:w="6866" w:type="dxa"/>
            <w:vAlign w:val="center"/>
          </w:tcPr>
          <w:p w14:paraId="6210C2F5">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3.检测单位是否具有相应的</w:t>
            </w:r>
            <w:r>
              <w:rPr>
                <w:rFonts w:hint="eastAsia" w:ascii="Times New Roman" w:hAnsi="Times New Roman" w:eastAsia="仿宋_GB2312" w:cs="Times New Roman"/>
                <w:color w:val="000000"/>
                <w:sz w:val="24"/>
                <w:szCs w:val="28"/>
                <w:u w:val="none"/>
                <w:lang w:val="en-US" w:eastAsia="zh-CN"/>
              </w:rPr>
              <w:t>CMA</w:t>
            </w:r>
            <w:r>
              <w:rPr>
                <w:rFonts w:hint="default" w:ascii="宋体" w:hAnsi="宋体" w:eastAsia="仿宋_GB2312" w:cs="宋体"/>
                <w:color w:val="000000"/>
                <w:sz w:val="24"/>
                <w:szCs w:val="28"/>
                <w:u w:val="none"/>
              </w:rPr>
              <w:t>资质</w:t>
            </w:r>
          </w:p>
        </w:tc>
        <w:tc>
          <w:tcPr>
            <w:tcW w:w="1050" w:type="dxa"/>
            <w:vMerge w:val="continue"/>
            <w:vAlign w:val="center"/>
          </w:tcPr>
          <w:p w14:paraId="4A9E5DCE">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0E6F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053" w:type="dxa"/>
            <w:vMerge w:val="continue"/>
            <w:vAlign w:val="center"/>
          </w:tcPr>
          <w:p w14:paraId="6DC5359E">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p>
        </w:tc>
        <w:tc>
          <w:tcPr>
            <w:tcW w:w="6866" w:type="dxa"/>
            <w:vAlign w:val="center"/>
          </w:tcPr>
          <w:p w14:paraId="33C95021">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4.检测方法是否科学规范</w:t>
            </w:r>
          </w:p>
        </w:tc>
        <w:tc>
          <w:tcPr>
            <w:tcW w:w="1050" w:type="dxa"/>
            <w:vMerge w:val="continue"/>
            <w:vAlign w:val="center"/>
          </w:tcPr>
          <w:p w14:paraId="5CA0DB35">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195A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053" w:type="dxa"/>
            <w:vMerge w:val="continue"/>
            <w:vAlign w:val="center"/>
          </w:tcPr>
          <w:p w14:paraId="46024628">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p>
        </w:tc>
        <w:tc>
          <w:tcPr>
            <w:tcW w:w="6866" w:type="dxa"/>
            <w:vAlign w:val="center"/>
          </w:tcPr>
          <w:p w14:paraId="2727C9D0">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5.</w:t>
            </w:r>
            <w:r>
              <w:rPr>
                <w:rFonts w:hint="default" w:ascii="宋体" w:hAnsi="宋体" w:eastAsia="仿宋_GB2312" w:cs="宋体"/>
                <w:color w:val="000000"/>
                <w:sz w:val="24"/>
                <w:szCs w:val="28"/>
                <w:u w:val="none"/>
              </w:rPr>
              <w:t>检测报告是否详实、合理</w:t>
            </w:r>
          </w:p>
        </w:tc>
        <w:tc>
          <w:tcPr>
            <w:tcW w:w="1050" w:type="dxa"/>
            <w:vMerge w:val="continue"/>
            <w:vAlign w:val="center"/>
          </w:tcPr>
          <w:p w14:paraId="04ED1214">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790D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053" w:type="dxa"/>
            <w:vMerge w:val="restart"/>
            <w:vAlign w:val="center"/>
          </w:tcPr>
          <w:p w14:paraId="14BB4EF3">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r>
              <w:rPr>
                <w:rFonts w:hint="eastAsia"/>
                <w:sz w:val="24"/>
                <w:szCs w:val="24"/>
                <w:lang w:val="en-US" w:eastAsia="zh-CN"/>
              </w:rPr>
              <w:t>C</w:t>
            </w:r>
            <w:r>
              <w:rPr>
                <w:rFonts w:hint="eastAsia"/>
                <w:sz w:val="24"/>
                <w:szCs w:val="24"/>
                <w:vertAlign w:val="subscript"/>
                <w:lang w:val="en-US" w:eastAsia="zh-CN"/>
              </w:rPr>
              <w:t>4</w:t>
            </w:r>
            <w:r>
              <w:rPr>
                <w:rFonts w:hint="eastAsia"/>
                <w:sz w:val="24"/>
                <w:szCs w:val="24"/>
                <w:vertAlign w:val="baseline"/>
                <w:lang w:val="en-US" w:eastAsia="zh-CN"/>
              </w:rPr>
              <w:t>—</w:t>
            </w:r>
            <w:r>
              <w:rPr>
                <w:rFonts w:ascii="Times New Roman" w:hAnsi="Times New Roman" w:eastAsia="仿宋_GB2312" w:cs="Times New Roman"/>
                <w:kern w:val="0"/>
                <w:sz w:val="24"/>
                <w:szCs w:val="24"/>
              </w:rPr>
              <w:t>数据整理与分析（10分）</w:t>
            </w:r>
          </w:p>
        </w:tc>
        <w:tc>
          <w:tcPr>
            <w:tcW w:w="6866" w:type="dxa"/>
            <w:vAlign w:val="center"/>
          </w:tcPr>
          <w:p w14:paraId="582C2C81">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1.</w:t>
            </w:r>
            <w:r>
              <w:rPr>
                <w:rFonts w:hint="default" w:ascii="宋体" w:hAnsi="宋体" w:eastAsia="仿宋_GB2312" w:cs="宋体"/>
                <w:color w:val="000000"/>
                <w:sz w:val="24"/>
                <w:szCs w:val="28"/>
                <w:u w:val="none"/>
              </w:rPr>
              <w:t>检测数据汇整、分析和表征是否科学合理</w:t>
            </w:r>
          </w:p>
        </w:tc>
        <w:tc>
          <w:tcPr>
            <w:tcW w:w="1050" w:type="dxa"/>
            <w:vMerge w:val="restart"/>
            <w:vAlign w:val="center"/>
          </w:tcPr>
          <w:p w14:paraId="27C495D0">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582A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053" w:type="dxa"/>
            <w:vMerge w:val="continue"/>
            <w:vAlign w:val="center"/>
          </w:tcPr>
          <w:p w14:paraId="09CEFE20">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p>
        </w:tc>
        <w:tc>
          <w:tcPr>
            <w:tcW w:w="6866" w:type="dxa"/>
            <w:vAlign w:val="center"/>
          </w:tcPr>
          <w:p w14:paraId="5E6D6081">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2.</w:t>
            </w:r>
            <w:r>
              <w:rPr>
                <w:rFonts w:hint="eastAsia" w:ascii="Times New Roman" w:hAnsi="Times New Roman" w:eastAsia="仿宋_GB2312" w:cs="Times New Roman"/>
                <w:kern w:val="0"/>
                <w:sz w:val="24"/>
                <w:szCs w:val="24"/>
              </w:rPr>
              <w:t>土壤筛选值和地下水标准限值选取是否合理</w:t>
            </w:r>
          </w:p>
        </w:tc>
        <w:tc>
          <w:tcPr>
            <w:tcW w:w="1050" w:type="dxa"/>
            <w:vMerge w:val="continue"/>
            <w:vAlign w:val="center"/>
          </w:tcPr>
          <w:p w14:paraId="5F4E9A12">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2E67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2053" w:type="dxa"/>
            <w:vMerge w:val="restart"/>
            <w:vAlign w:val="center"/>
          </w:tcPr>
          <w:p w14:paraId="2DB9DDE4">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r>
              <w:rPr>
                <w:rFonts w:hint="eastAsia"/>
                <w:sz w:val="24"/>
                <w:szCs w:val="24"/>
                <w:lang w:val="en-US" w:eastAsia="zh-CN"/>
              </w:rPr>
              <w:t>C</w:t>
            </w:r>
            <w:r>
              <w:rPr>
                <w:rFonts w:hint="eastAsia"/>
                <w:sz w:val="24"/>
                <w:szCs w:val="24"/>
                <w:vertAlign w:val="subscript"/>
                <w:lang w:val="en-US" w:eastAsia="zh-CN"/>
              </w:rPr>
              <w:t>5</w:t>
            </w:r>
            <w:r>
              <w:rPr>
                <w:rFonts w:hint="eastAsia"/>
                <w:sz w:val="24"/>
                <w:szCs w:val="24"/>
                <w:vertAlign w:val="baseline"/>
                <w:lang w:val="en-US" w:eastAsia="zh-CN"/>
              </w:rPr>
              <w:t>—</w:t>
            </w:r>
            <w:r>
              <w:rPr>
                <w:rFonts w:ascii="Times New Roman" w:hAnsi="Times New Roman" w:eastAsia="仿宋_GB2312" w:cs="Times New Roman"/>
                <w:kern w:val="0"/>
                <w:sz w:val="24"/>
                <w:szCs w:val="24"/>
              </w:rPr>
              <w:t>不确定性分析、结论建议</w:t>
            </w:r>
          </w:p>
          <w:p w14:paraId="237AECC2">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r>
              <w:rPr>
                <w:rFonts w:hint="eastAsia" w:ascii="Times New Roman" w:hAnsi="Times New Roman" w:eastAsia="仿宋_GB2312" w:cs="Times New Roman"/>
                <w:kern w:val="0"/>
                <w:sz w:val="24"/>
                <w:szCs w:val="24"/>
              </w:rPr>
              <w:t>20</w:t>
            </w:r>
            <w:r>
              <w:rPr>
                <w:rFonts w:ascii="Times New Roman" w:hAnsi="Times New Roman" w:eastAsia="仿宋_GB2312" w:cs="Times New Roman"/>
                <w:kern w:val="0"/>
                <w:sz w:val="24"/>
                <w:szCs w:val="24"/>
              </w:rPr>
              <w:t>分）</w:t>
            </w:r>
          </w:p>
        </w:tc>
        <w:tc>
          <w:tcPr>
            <w:tcW w:w="6866" w:type="dxa"/>
            <w:vAlign w:val="center"/>
          </w:tcPr>
          <w:p w14:paraId="6210B820">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1.不确定性分析是否具有针对性</w:t>
            </w:r>
          </w:p>
        </w:tc>
        <w:tc>
          <w:tcPr>
            <w:tcW w:w="1050" w:type="dxa"/>
            <w:vMerge w:val="restart"/>
            <w:vAlign w:val="center"/>
          </w:tcPr>
          <w:p w14:paraId="05A712B6">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2254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053" w:type="dxa"/>
            <w:vMerge w:val="continue"/>
            <w:vAlign w:val="center"/>
          </w:tcPr>
          <w:p w14:paraId="1C7AD153">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p>
        </w:tc>
        <w:tc>
          <w:tcPr>
            <w:tcW w:w="6866" w:type="dxa"/>
            <w:vAlign w:val="center"/>
          </w:tcPr>
          <w:p w14:paraId="46B8067D">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2.不确定性的应对措施是否合理</w:t>
            </w:r>
          </w:p>
        </w:tc>
        <w:tc>
          <w:tcPr>
            <w:tcW w:w="1050" w:type="dxa"/>
            <w:vMerge w:val="continue"/>
            <w:vAlign w:val="center"/>
          </w:tcPr>
          <w:p w14:paraId="2DFE6585">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5EC0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053" w:type="dxa"/>
            <w:vMerge w:val="continue"/>
            <w:vAlign w:val="center"/>
          </w:tcPr>
          <w:p w14:paraId="1A1D6C0A">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p>
        </w:tc>
        <w:tc>
          <w:tcPr>
            <w:tcW w:w="6866" w:type="dxa"/>
            <w:vAlign w:val="center"/>
          </w:tcPr>
          <w:p w14:paraId="2C337759">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3.调查结论的综合性、客观性和可信性</w:t>
            </w:r>
          </w:p>
        </w:tc>
        <w:tc>
          <w:tcPr>
            <w:tcW w:w="1050" w:type="dxa"/>
            <w:vMerge w:val="continue"/>
            <w:vAlign w:val="center"/>
          </w:tcPr>
          <w:p w14:paraId="37B178AF">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3022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053" w:type="dxa"/>
            <w:vAlign w:val="center"/>
          </w:tcPr>
          <w:p w14:paraId="3789A7E4">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r>
              <w:rPr>
                <w:rFonts w:hint="eastAsia"/>
                <w:sz w:val="24"/>
                <w:szCs w:val="24"/>
                <w:lang w:val="en-US" w:eastAsia="zh-CN"/>
              </w:rPr>
              <w:t>C</w:t>
            </w:r>
            <w:r>
              <w:rPr>
                <w:rFonts w:hint="eastAsia"/>
                <w:sz w:val="24"/>
                <w:szCs w:val="24"/>
                <w:vertAlign w:val="subscript"/>
                <w:lang w:val="en-US" w:eastAsia="zh-CN"/>
              </w:rPr>
              <w:t>6</w:t>
            </w:r>
            <w:r>
              <w:rPr>
                <w:rFonts w:hint="eastAsia"/>
                <w:sz w:val="24"/>
                <w:szCs w:val="24"/>
                <w:vertAlign w:val="baseline"/>
                <w:lang w:val="en-US" w:eastAsia="zh-CN"/>
              </w:rPr>
              <w:t>—</w:t>
            </w:r>
            <w:r>
              <w:rPr>
                <w:rFonts w:ascii="Times New Roman" w:hAnsi="Times New Roman" w:eastAsia="仿宋_GB2312" w:cs="Times New Roman"/>
                <w:kern w:val="0"/>
                <w:sz w:val="24"/>
                <w:szCs w:val="24"/>
              </w:rPr>
              <w:t>附图、附件</w:t>
            </w:r>
          </w:p>
          <w:p w14:paraId="47FFDD51">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（5分）</w:t>
            </w:r>
          </w:p>
        </w:tc>
        <w:tc>
          <w:tcPr>
            <w:tcW w:w="6866" w:type="dxa"/>
            <w:vAlign w:val="center"/>
          </w:tcPr>
          <w:p w14:paraId="4DFFC018">
            <w:pPr>
              <w:keepNext w:val="0"/>
              <w:keepLines w:val="0"/>
              <w:pageBreakBefore w:val="0"/>
              <w:widowControl/>
              <w:kinsoku/>
              <w:wordWrap/>
              <w:overflowPunct/>
              <w:topLinePunct w:val="0"/>
              <w:autoSpaceDE/>
              <w:autoSpaceDN/>
              <w:bidi w:val="0"/>
              <w:adjustRightInd/>
              <w:snapToGrid/>
              <w:spacing w:line="440" w:lineRule="exact"/>
              <w:ind w:left="0" w:firstLine="0" w:firstLineChars="0"/>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color w:val="000000"/>
                <w:sz w:val="24"/>
                <w:szCs w:val="28"/>
                <w:u w:val="none"/>
              </w:rPr>
              <w:t>附件、图表及相关材料是否规范、完整</w:t>
            </w:r>
          </w:p>
        </w:tc>
        <w:tc>
          <w:tcPr>
            <w:tcW w:w="1050" w:type="dxa"/>
            <w:vAlign w:val="center"/>
          </w:tcPr>
          <w:p w14:paraId="5B2342F0">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393D4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919" w:type="dxa"/>
            <w:gridSpan w:val="2"/>
            <w:vAlign w:val="center"/>
          </w:tcPr>
          <w:p w14:paraId="59A0BD59">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textAlignment w:val="center"/>
              <w:rPr>
                <w:rFonts w:ascii="Times New Roman" w:hAnsi="Times New Roman" w:eastAsia="仿宋_GB2312" w:cs="Times New Roman"/>
                <w:sz w:val="24"/>
                <w:szCs w:val="24"/>
              </w:rPr>
            </w:pPr>
            <w:r>
              <w:rPr>
                <w:rFonts w:ascii="Times New Roman" w:hAnsi="Times New Roman" w:eastAsia="仿宋_GB2312" w:cs="Times New Roman"/>
                <w:b/>
                <w:bCs/>
                <w:kern w:val="0"/>
                <w:sz w:val="24"/>
                <w:szCs w:val="24"/>
              </w:rPr>
              <w:t>总    分</w:t>
            </w:r>
          </w:p>
        </w:tc>
        <w:tc>
          <w:tcPr>
            <w:tcW w:w="1050" w:type="dxa"/>
            <w:vAlign w:val="center"/>
          </w:tcPr>
          <w:p w14:paraId="18065548">
            <w:pPr>
              <w:keepNext w:val="0"/>
              <w:keepLines w:val="0"/>
              <w:pageBreakBefore w:val="0"/>
              <w:widowControl/>
              <w:kinsoku/>
              <w:wordWrap/>
              <w:overflowPunct/>
              <w:topLinePunct w:val="0"/>
              <w:autoSpaceDE/>
              <w:autoSpaceDN/>
              <w:bidi w:val="0"/>
              <w:adjustRightInd/>
              <w:snapToGrid/>
              <w:spacing w:line="440" w:lineRule="exact"/>
              <w:ind w:left="0" w:firstLine="0" w:firstLineChars="0"/>
              <w:jc w:val="center"/>
              <w:rPr>
                <w:rFonts w:ascii="Times New Roman" w:hAnsi="Times New Roman" w:eastAsia="仿宋_GB2312" w:cs="Times New Roman"/>
                <w:sz w:val="24"/>
                <w:szCs w:val="24"/>
              </w:rPr>
            </w:pPr>
          </w:p>
        </w:tc>
      </w:tr>
      <w:tr w14:paraId="4CD6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jc w:val="center"/>
        </w:trPr>
        <w:tc>
          <w:tcPr>
            <w:tcW w:w="9969" w:type="dxa"/>
            <w:gridSpan w:val="3"/>
            <w:vAlign w:val="center"/>
          </w:tcPr>
          <w:p w14:paraId="19DB107D">
            <w:pPr>
              <w:keepNext w:val="0"/>
              <w:keepLines w:val="0"/>
              <w:pageBreakBefore w:val="0"/>
              <w:widowControl w:val="0"/>
              <w:kinsoku/>
              <w:wordWrap/>
              <w:overflowPunct/>
              <w:topLinePunct w:val="0"/>
              <w:autoSpaceDE/>
              <w:autoSpaceDN/>
              <w:bidi w:val="0"/>
              <w:adjustRightInd/>
              <w:snapToGrid/>
              <w:spacing w:after="0" w:line="340" w:lineRule="exact"/>
              <w:ind w:left="0" w:leftChars="0"/>
              <w:jc w:val="both"/>
              <w:textAlignment w:val="auto"/>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kern w:val="2"/>
                <w:sz w:val="24"/>
                <w:szCs w:val="24"/>
                <w:lang w:val="en-US" w:eastAsia="zh-CN" w:bidi="ar-SA"/>
              </w:rPr>
              <w:t>注</w:t>
            </w:r>
            <w:r>
              <w:rPr>
                <w:rFonts w:hint="eastAsia" w:ascii="Times New Roman" w:hAnsi="Times New Roman" w:eastAsia="仿宋_GB2312" w:cs="Times New Roman"/>
                <w:kern w:val="2"/>
                <w:sz w:val="24"/>
                <w:szCs w:val="24"/>
                <w:lang w:val="en-US" w:eastAsia="zh-CN" w:bidi="ar-SA"/>
              </w:rPr>
              <w:t>1：调查报告中存在“一票否决”项”直接扣掉100分，分项不计分，总分计为0分。</w:t>
            </w:r>
          </w:p>
          <w:p w14:paraId="200E545A">
            <w:pPr>
              <w:keepNext w:val="0"/>
              <w:keepLines w:val="0"/>
              <w:pageBreakBefore w:val="0"/>
              <w:widowControl w:val="0"/>
              <w:kinsoku/>
              <w:wordWrap/>
              <w:overflowPunct/>
              <w:topLinePunct w:val="0"/>
              <w:autoSpaceDE/>
              <w:autoSpaceDN/>
              <w:bidi w:val="0"/>
              <w:adjustRightInd/>
              <w:snapToGrid/>
              <w:spacing w:after="0" w:line="340" w:lineRule="exact"/>
              <w:ind w:left="0" w:leftChars="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注2：</w:t>
            </w:r>
            <w:r>
              <w:rPr>
                <w:rFonts w:ascii="Times New Roman" w:hAnsi="Times New Roman" w:eastAsia="仿宋_GB2312" w:cs="Times New Roman"/>
                <w:kern w:val="2"/>
                <w:sz w:val="24"/>
                <w:szCs w:val="24"/>
                <w:lang w:val="en-US" w:eastAsia="zh-CN" w:bidi="ar-SA"/>
              </w:rPr>
              <w:t>对于第一阶段结束调查的项目仅对</w:t>
            </w:r>
            <w:r>
              <w:rPr>
                <w:rFonts w:hint="eastAsia" w:ascii="Times New Roman" w:hAnsi="Times New Roman" w:eastAsia="仿宋_GB2312" w:cs="Times New Roman"/>
                <w:kern w:val="2"/>
                <w:sz w:val="24"/>
                <w:szCs w:val="24"/>
                <w:lang w:val="en-US" w:eastAsia="zh-CN" w:bidi="ar-SA"/>
              </w:rPr>
              <w:t>一、五和六</w:t>
            </w:r>
            <w:r>
              <w:rPr>
                <w:rFonts w:ascii="Times New Roman" w:hAnsi="Times New Roman" w:eastAsia="仿宋_GB2312" w:cs="Times New Roman"/>
                <w:kern w:val="2"/>
                <w:sz w:val="24"/>
                <w:szCs w:val="24"/>
                <w:lang w:val="en-US" w:eastAsia="zh-CN" w:bidi="ar-SA"/>
              </w:rPr>
              <w:t>项赋分，得分按百分制折算。</w:t>
            </w:r>
          </w:p>
          <w:p w14:paraId="1D8BE36A">
            <w:pPr>
              <w:keepNext w:val="0"/>
              <w:keepLines w:val="0"/>
              <w:pageBreakBefore w:val="0"/>
              <w:widowControl w:val="0"/>
              <w:kinsoku/>
              <w:wordWrap/>
              <w:overflowPunct/>
              <w:topLinePunct w:val="0"/>
              <w:autoSpaceDE/>
              <w:autoSpaceDN/>
              <w:bidi w:val="0"/>
              <w:adjustRightInd/>
              <w:snapToGrid/>
              <w:spacing w:after="0" w:line="340" w:lineRule="exact"/>
              <w:ind w:left="0" w:leftChars="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注3：</w:t>
            </w:r>
            <w:r>
              <w:rPr>
                <w:rFonts w:ascii="Times New Roman" w:hAnsi="Times New Roman" w:eastAsia="仿宋_GB2312" w:cs="Times New Roman"/>
                <w:kern w:val="2"/>
                <w:sz w:val="24"/>
                <w:szCs w:val="24"/>
                <w:lang w:val="en-US" w:eastAsia="zh-CN" w:bidi="ar-SA"/>
              </w:rPr>
              <w:t>调查报告评审结论：</w:t>
            </w:r>
          </w:p>
          <w:p w14:paraId="224F52C2">
            <w:pPr>
              <w:keepNext w:val="0"/>
              <w:keepLines w:val="0"/>
              <w:pageBreakBefore w:val="0"/>
              <w:widowControl w:val="0"/>
              <w:kinsoku/>
              <w:wordWrap/>
              <w:overflowPunct/>
              <w:topLinePunct w:val="0"/>
              <w:autoSpaceDE/>
              <w:autoSpaceDN/>
              <w:bidi w:val="0"/>
              <w:adjustRightInd/>
              <w:snapToGrid/>
              <w:spacing w:line="340" w:lineRule="exact"/>
              <w:ind w:left="0" w:leftChars="0" w:firstLine="720" w:firstLineChars="300"/>
              <w:textAlignment w:val="auto"/>
              <w:rPr>
                <w:rFonts w:ascii="Times New Roman" w:hAnsi="Times New Roman" w:eastAsia="仿宋_GB2312" w:cs="Times New Roman"/>
                <w:sz w:val="24"/>
                <w:szCs w:val="24"/>
              </w:rPr>
            </w:pPr>
            <w:bookmarkStart w:id="0" w:name="_GoBack"/>
            <w:bookmarkEnd w:id="0"/>
            <w:r>
              <w:rPr>
                <w:rFonts w:hint="eastAsia" w:ascii="Times New Roman" w:hAnsi="Times New Roman" w:eastAsia="仿宋_GB2312" w:cs="Times New Roman"/>
                <w:sz w:val="24"/>
                <w:szCs w:val="24"/>
              </w:rPr>
              <w:t>1</w:t>
            </w:r>
            <w:r>
              <w:rPr>
                <w:rFonts w:ascii="Times New Roman" w:hAnsi="Times New Roman" w:eastAsia="仿宋_GB2312" w:cs="Times New Roman"/>
                <w:sz w:val="24"/>
                <w:szCs w:val="24"/>
              </w:rPr>
              <w:t>.直接通过专家评审（95分以上</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w:t>
            </w:r>
          </w:p>
          <w:p w14:paraId="1896219D">
            <w:pPr>
              <w:keepNext w:val="0"/>
              <w:keepLines w:val="0"/>
              <w:pageBreakBefore w:val="0"/>
              <w:widowControl w:val="0"/>
              <w:kinsoku/>
              <w:wordWrap/>
              <w:overflowPunct/>
              <w:topLinePunct w:val="0"/>
              <w:autoSpaceDE/>
              <w:autoSpaceDN/>
              <w:bidi w:val="0"/>
              <w:adjustRightInd/>
              <w:snapToGrid/>
              <w:spacing w:line="340" w:lineRule="exact"/>
              <w:ind w:left="0" w:leftChars="0" w:firstLine="720" w:firstLineChars="300"/>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t>2.原则通过，需要进行修改和完</w:t>
            </w:r>
            <w:r>
              <w:rPr>
                <w:rFonts w:hint="eastAsia" w:ascii="Times New Roman" w:hAnsi="Times New Roman" w:eastAsia="仿宋_GB2312" w:cs="Times New Roman"/>
                <w:sz w:val="24"/>
                <w:szCs w:val="24"/>
              </w:rPr>
              <w:t>善</w:t>
            </w:r>
            <w:r>
              <w:rPr>
                <w:rFonts w:ascii="Times New Roman" w:hAnsi="Times New Roman" w:eastAsia="仿宋_GB2312" w:cs="Times New Roman"/>
                <w:sz w:val="24"/>
                <w:szCs w:val="24"/>
              </w:rPr>
              <w:t>（60-95分</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w:t>
            </w:r>
          </w:p>
          <w:p w14:paraId="766FBDE8">
            <w:pPr>
              <w:keepNext w:val="0"/>
              <w:keepLines w:val="0"/>
              <w:pageBreakBefore w:val="0"/>
              <w:widowControl w:val="0"/>
              <w:kinsoku/>
              <w:wordWrap/>
              <w:overflowPunct/>
              <w:topLinePunct w:val="0"/>
              <w:autoSpaceDE/>
              <w:autoSpaceDN/>
              <w:bidi w:val="0"/>
              <w:adjustRightInd/>
              <w:snapToGrid/>
              <w:spacing w:line="340" w:lineRule="exact"/>
              <w:ind w:left="0" w:leftChars="0" w:firstLine="720" w:firstLineChars="300"/>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t>3.没有通过专家评审（60分以下</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w:t>
            </w:r>
          </w:p>
          <w:p w14:paraId="000A32FE">
            <w:pPr>
              <w:keepNext w:val="0"/>
              <w:keepLines w:val="0"/>
              <w:pageBreakBefore w:val="0"/>
              <w:widowControl w:val="0"/>
              <w:kinsoku/>
              <w:wordWrap/>
              <w:overflowPunct/>
              <w:topLinePunct w:val="0"/>
              <w:autoSpaceDE/>
              <w:autoSpaceDN/>
              <w:bidi w:val="0"/>
              <w:adjustRightInd/>
              <w:snapToGrid/>
              <w:spacing w:after="0" w:line="340" w:lineRule="exact"/>
              <w:ind w:left="0" w:leftChars="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注</w:t>
            </w:r>
            <w:r>
              <w:rPr>
                <w:rFonts w:ascii="Times New Roman" w:hAnsi="Times New Roman" w:eastAsia="仿宋_GB2312" w:cs="Times New Roman"/>
                <w:kern w:val="2"/>
                <w:sz w:val="24"/>
                <w:szCs w:val="24"/>
                <w:lang w:val="en-US" w:eastAsia="zh-CN" w:bidi="ar-SA"/>
              </w:rPr>
              <w:t>4</w:t>
            </w:r>
            <w:r>
              <w:rPr>
                <w:rFonts w:hint="eastAsia" w:ascii="Times New Roman" w:hAnsi="Times New Roman" w:eastAsia="仿宋_GB2312" w:cs="Times New Roman"/>
                <w:kern w:val="2"/>
                <w:sz w:val="24"/>
                <w:szCs w:val="24"/>
                <w:lang w:val="en-US" w:eastAsia="zh-CN" w:bidi="ar-SA"/>
              </w:rPr>
              <w:t>：评分要点</w:t>
            </w:r>
          </w:p>
          <w:p w14:paraId="264A6601">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地块基本信息阐述是否全面。</w:t>
            </w:r>
          </w:p>
          <w:p w14:paraId="10DE0D50">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地块所在区域自然环境资料（如水文地质、土壤类型、地下水功能、地块与集中式饮用水水源地位置关系等）收集是否完整。</w:t>
            </w:r>
          </w:p>
          <w:p w14:paraId="38B43FC4">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地块周围敏感目标描述是否完整、准确。</w:t>
            </w:r>
          </w:p>
          <w:p w14:paraId="2B3F00A8">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地块及周围区域现状与历史情况描述是否全面，是否遗漏了可能对地块存在影响的污染源。</w:t>
            </w:r>
          </w:p>
          <w:p w14:paraId="5FE7CD4A">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企业事业单位产品、原辅材料及中间体清单、产排污情况、平面布局、工艺流程、地下管线分布、化学品储存及使用清单、泄漏记录、地上及地下储罐清单、地勘报告等资料是否收集全面。</w:t>
            </w:r>
          </w:p>
          <w:p w14:paraId="45A2E635">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现场踏勘是否充分，包括地块重点区域、污染痕迹、储罐与管线、刺激性气体、排水管（渠）、废物堆放地、周围区域可能存在污染的企业及周围敏感目标等；踏勘结果描述是否全面，是否描述地块与周围敏感目标的位置关系，是否可根据报告判定地块现状、拆除情况及存在疑似污染痕迹的情形。</w:t>
            </w:r>
          </w:p>
          <w:p w14:paraId="2A17D6F7">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访谈人员是否具有代表性，访谈信息是否能准确体现地块及周围区域的环境状况。</w:t>
            </w:r>
          </w:p>
          <w:p w14:paraId="6D482E23">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污染识别分析是否完善，是否明确地块及周围区域有无潜在污染源，各潜在污染源的污染类型、污染状况、来源和潜在污染物是否描述清晰。</w:t>
            </w:r>
          </w:p>
          <w:p w14:paraId="6EA77ACC">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土壤和地下水点位布设依据是否清晰，是否明确采样点具体位置，是否可判断采样点与潜在污染源的位置关系。</w:t>
            </w:r>
          </w:p>
          <w:p w14:paraId="647838AB">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土壤采样深度是否合理，土壤采样深度是否达到未受污染的土壤深度。</w:t>
            </w:r>
          </w:p>
          <w:p w14:paraId="09E3E098">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地下水监测井地面高程及稳定水位埋深是否有数据来源，监测井建设尺寸、规格及长度等信息是否描述清楚。</w:t>
            </w:r>
          </w:p>
          <w:p w14:paraId="35CF4A32">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地下水等水位线图及水文地质剖面图绘制是否规范，水文地质剖面图中的土层描述是否规范，地下水流向判断是否有依据。</w:t>
            </w:r>
          </w:p>
          <w:p w14:paraId="0DD57A4D">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sz w:val="24"/>
                <w:szCs w:val="24"/>
              </w:rPr>
            </w:pPr>
            <w:r>
              <w:rPr>
                <w:rFonts w:hint="eastAsia" w:ascii="Times New Roman" w:hAnsi="Times New Roman" w:eastAsia="仿宋_GB2312" w:cs="Times New Roman"/>
                <w:kern w:val="2"/>
                <w:sz w:val="24"/>
                <w:szCs w:val="24"/>
                <w:lang w:val="en-US" w:eastAsia="zh-CN" w:bidi="ar-SA"/>
              </w:rPr>
              <w:t>土壤和地下水检测方法选取是否合理。</w:t>
            </w:r>
          </w:p>
          <w:p w14:paraId="69C3B031">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现场钻孔、地下水建井和洗井、土壤和地下水采样及样品追踪监管等原始记录的信息填写是否完整、规范；土壤和地下水样品采集、保存及流转等过程操作是否规范，现场调查原始记录是否规范，内容是否记录清晰，样品追踪监管记录是否全面；是否在报告中明确现场及实验室质控样数量及统计结果。</w:t>
            </w:r>
          </w:p>
          <w:p w14:paraId="14E6CED0">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样品检测数据汇总整理、分析和表征是否可信、准确、全面，是否包含污染源解析和成因分析。</w:t>
            </w:r>
          </w:p>
          <w:p w14:paraId="48C5A2C3">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土壤筛选值和地下水标准限值选取是否合理。</w:t>
            </w:r>
          </w:p>
          <w:p w14:paraId="6C9D1D9B">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检测过程是否体现全流程的质量保证与质量控制，土壤和地下水现场及实验室质量控制结果是否满足标准要求。</w:t>
            </w:r>
          </w:p>
          <w:p w14:paraId="5E864637">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调查结论是否完整、清晰，是否明确地块污染情况、污染介质、污染物种类、污染物浓度及空间分布等，建议是否具有针对性、科学性及合理性。</w:t>
            </w:r>
          </w:p>
          <w:p w14:paraId="7BC89337">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不确定性分析是否列出了调查过程中遇到的限制条件和欠缺的信息，针对不确定性是否提出了应对措施，是否分析了对调查工作和结果的影响。</w:t>
            </w:r>
          </w:p>
          <w:p w14:paraId="35130534">
            <w:pPr>
              <w:keepNext w:val="0"/>
              <w:keepLines w:val="0"/>
              <w:pageBreakBefore w:val="0"/>
              <w:widowControl w:val="0"/>
              <w:numPr>
                <w:ilvl w:val="0"/>
                <w:numId w:val="1"/>
              </w:numPr>
              <w:kinsoku/>
              <w:wordWrap/>
              <w:overflowPunct/>
              <w:topLinePunct w:val="0"/>
              <w:autoSpaceDE/>
              <w:autoSpaceDN/>
              <w:bidi w:val="0"/>
              <w:adjustRightInd/>
              <w:snapToGrid/>
              <w:spacing w:after="0" w:line="340" w:lineRule="exact"/>
              <w:ind w:left="0" w:leftChars="0" w:hanging="360"/>
              <w:jc w:val="both"/>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报</w:t>
            </w:r>
            <w:r>
              <w:rPr>
                <w:rFonts w:hint="eastAsia" w:ascii="Times New Roman" w:hAnsi="Times New Roman" w:eastAsia="仿宋_GB2312" w:cs="Times New Roman"/>
                <w:kern w:val="2"/>
                <w:sz w:val="24"/>
                <w:szCs w:val="24"/>
                <w:lang w:val="en-US" w:eastAsia="zh-CN" w:bidi="ar-SA"/>
              </w:rPr>
              <w:t>告全文是否存在明显纰漏，上下文内容是否存在相互矛盾。</w:t>
            </w:r>
          </w:p>
          <w:p w14:paraId="5A7A3ACA">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both"/>
              <w:textAlignment w:val="auto"/>
            </w:pPr>
          </w:p>
        </w:tc>
      </w:tr>
    </w:tbl>
    <w:p w14:paraId="52094F50">
      <w:pPr>
        <w:keepNext w:val="0"/>
        <w:keepLines w:val="0"/>
        <w:pageBreakBefore w:val="0"/>
        <w:widowControl w:val="0"/>
        <w:kinsoku/>
        <w:wordWrap/>
        <w:overflowPunct/>
        <w:topLinePunct w:val="0"/>
        <w:autoSpaceDE/>
        <w:autoSpaceDN/>
        <w:bidi w:val="0"/>
        <w:adjustRightInd/>
        <w:snapToGrid/>
        <w:spacing w:line="900" w:lineRule="exact"/>
        <w:ind w:firstLine="0" w:firstLineChars="0"/>
        <w:textAlignment w:val="auto"/>
        <w:rPr>
          <w:rFonts w:hint="eastAsia"/>
          <w:sz w:val="32"/>
          <w:szCs w:val="22"/>
          <w:lang w:val="en-US" w:eastAsia="zh-CN"/>
        </w:rPr>
      </w:pPr>
      <w:r>
        <w:rPr>
          <w:rFonts w:hint="eastAsia"/>
          <w:sz w:val="32"/>
          <w:szCs w:val="22"/>
          <w:lang w:val="en-US" w:eastAsia="zh-CN"/>
        </w:rPr>
        <w:t>专家签字：</w:t>
      </w:r>
    </w:p>
    <w:p w14:paraId="53C90B41">
      <w:pPr>
        <w:keepNext w:val="0"/>
        <w:keepLines w:val="0"/>
        <w:pageBreakBefore w:val="0"/>
        <w:widowControl w:val="0"/>
        <w:kinsoku/>
        <w:wordWrap/>
        <w:overflowPunct/>
        <w:topLinePunct w:val="0"/>
        <w:autoSpaceDE/>
        <w:autoSpaceDN/>
        <w:bidi w:val="0"/>
        <w:adjustRightInd/>
        <w:snapToGrid/>
        <w:spacing w:line="900" w:lineRule="exact"/>
        <w:ind w:firstLine="0" w:firstLineChars="0"/>
        <w:textAlignment w:val="auto"/>
        <w:rPr>
          <w:rFonts w:hint="eastAsia"/>
          <w:sz w:val="32"/>
          <w:szCs w:val="22"/>
          <w:lang w:val="en-US" w:eastAsia="zh-CN"/>
        </w:rPr>
      </w:pPr>
      <w:r>
        <w:rPr>
          <w:rFonts w:hint="eastAsia"/>
          <w:sz w:val="32"/>
          <w:szCs w:val="22"/>
          <w:lang w:val="en-US" w:eastAsia="zh-CN"/>
        </w:rPr>
        <w:t>业主单位参会人员签字：</w:t>
      </w:r>
    </w:p>
    <w:p w14:paraId="06FBBFD9">
      <w:pPr>
        <w:keepNext w:val="0"/>
        <w:keepLines w:val="0"/>
        <w:pageBreakBefore w:val="0"/>
        <w:widowControl w:val="0"/>
        <w:kinsoku/>
        <w:wordWrap/>
        <w:overflowPunct/>
        <w:topLinePunct w:val="0"/>
        <w:autoSpaceDE/>
        <w:autoSpaceDN/>
        <w:bidi w:val="0"/>
        <w:adjustRightInd/>
        <w:snapToGrid/>
        <w:spacing w:line="900" w:lineRule="exact"/>
        <w:ind w:firstLine="0" w:firstLineChars="0"/>
        <w:textAlignment w:val="auto"/>
        <w:rPr>
          <w:rFonts w:hint="eastAsia"/>
          <w:sz w:val="32"/>
          <w:szCs w:val="22"/>
          <w:lang w:val="en-US" w:eastAsia="zh-CN"/>
        </w:rPr>
      </w:pPr>
      <w:r>
        <w:rPr>
          <w:rFonts w:hint="eastAsia"/>
          <w:sz w:val="32"/>
          <w:szCs w:val="22"/>
          <w:lang w:val="en-US" w:eastAsia="zh-CN"/>
        </w:rPr>
        <w:t>编制单位参会人员签字：</w:t>
      </w:r>
    </w:p>
    <w:p w14:paraId="2A8E455D">
      <w:pPr>
        <w:keepNext w:val="0"/>
        <w:keepLines w:val="0"/>
        <w:pageBreakBefore w:val="0"/>
        <w:widowControl w:val="0"/>
        <w:kinsoku/>
        <w:wordWrap/>
        <w:overflowPunct/>
        <w:topLinePunct w:val="0"/>
        <w:autoSpaceDE/>
        <w:autoSpaceDN/>
        <w:bidi w:val="0"/>
        <w:adjustRightInd/>
        <w:snapToGrid/>
        <w:spacing w:line="900" w:lineRule="exact"/>
        <w:ind w:firstLine="0" w:firstLineChars="0"/>
        <w:textAlignment w:val="auto"/>
        <w:rPr>
          <w:rFonts w:hint="eastAsia"/>
          <w:sz w:val="32"/>
          <w:szCs w:val="22"/>
          <w:lang w:val="en-US" w:eastAsia="zh-CN"/>
        </w:rPr>
      </w:pPr>
      <w:r>
        <w:rPr>
          <w:rFonts w:hint="eastAsia"/>
          <w:sz w:val="32"/>
          <w:szCs w:val="22"/>
          <w:lang w:val="en-US" w:eastAsia="zh-CN"/>
        </w:rPr>
        <w:t>检测单位参会人员签字：</w:t>
      </w:r>
    </w:p>
    <w:p w14:paraId="7B0DFBE0">
      <w:pPr>
        <w:keepNext w:val="0"/>
        <w:keepLines w:val="0"/>
        <w:pageBreakBefore w:val="0"/>
        <w:widowControl w:val="0"/>
        <w:kinsoku/>
        <w:wordWrap/>
        <w:overflowPunct/>
        <w:topLinePunct w:val="0"/>
        <w:autoSpaceDE/>
        <w:autoSpaceDN/>
        <w:bidi w:val="0"/>
        <w:adjustRightInd/>
        <w:snapToGrid/>
        <w:spacing w:line="900" w:lineRule="exact"/>
        <w:ind w:firstLine="0" w:firstLineChars="0"/>
        <w:textAlignment w:val="auto"/>
        <w:rPr>
          <w:rFonts w:hint="eastAsia"/>
          <w:sz w:val="32"/>
          <w:szCs w:val="22"/>
          <w:lang w:val="en-US" w:eastAsia="zh-CN"/>
        </w:rPr>
      </w:pPr>
      <w:r>
        <w:rPr>
          <w:rFonts w:hint="eastAsia"/>
          <w:sz w:val="32"/>
          <w:szCs w:val="22"/>
          <w:lang w:val="en-US" w:eastAsia="zh-CN"/>
        </w:rPr>
        <w:t>市生态环境局参会人员签字：</w:t>
      </w:r>
    </w:p>
    <w:p w14:paraId="09282C9B">
      <w:pPr>
        <w:keepNext w:val="0"/>
        <w:keepLines w:val="0"/>
        <w:pageBreakBefore w:val="0"/>
        <w:widowControl w:val="0"/>
        <w:kinsoku/>
        <w:wordWrap/>
        <w:overflowPunct/>
        <w:topLinePunct w:val="0"/>
        <w:autoSpaceDE/>
        <w:autoSpaceDN/>
        <w:bidi w:val="0"/>
        <w:adjustRightInd/>
        <w:snapToGrid/>
        <w:spacing w:line="900" w:lineRule="exact"/>
        <w:ind w:firstLine="0" w:firstLineChars="0"/>
        <w:textAlignment w:val="auto"/>
        <w:rPr>
          <w:rFonts w:hint="eastAsia"/>
          <w:sz w:val="32"/>
          <w:szCs w:val="22"/>
          <w:lang w:val="en-US" w:eastAsia="zh-CN"/>
        </w:rPr>
      </w:pPr>
      <w:r>
        <w:rPr>
          <w:rFonts w:hint="eastAsia"/>
          <w:sz w:val="32"/>
          <w:szCs w:val="22"/>
          <w:lang w:val="en-US" w:eastAsia="zh-CN"/>
        </w:rPr>
        <w:t>市自然资源局参会人员签字：</w:t>
      </w:r>
    </w:p>
    <w:p w14:paraId="41539706">
      <w:pPr>
        <w:keepNext w:val="0"/>
        <w:keepLines w:val="0"/>
        <w:pageBreakBefore w:val="0"/>
        <w:widowControl w:val="0"/>
        <w:kinsoku/>
        <w:wordWrap/>
        <w:overflowPunct/>
        <w:topLinePunct w:val="0"/>
        <w:autoSpaceDE/>
        <w:autoSpaceDN/>
        <w:bidi w:val="0"/>
        <w:adjustRightInd/>
        <w:snapToGrid/>
        <w:spacing w:line="900" w:lineRule="exact"/>
        <w:ind w:firstLine="0" w:firstLineChars="0"/>
        <w:textAlignment w:val="auto"/>
        <w:rPr>
          <w:rFonts w:hint="eastAsia"/>
          <w:sz w:val="32"/>
          <w:szCs w:val="22"/>
          <w:lang w:val="en-US" w:eastAsia="zh-CN"/>
        </w:rPr>
      </w:pPr>
      <w:r>
        <w:rPr>
          <w:rFonts w:hint="eastAsia"/>
          <w:sz w:val="32"/>
          <w:szCs w:val="22"/>
          <w:lang w:val="en-US" w:eastAsia="zh-CN"/>
        </w:rPr>
        <w:t>区生态环境分局参会人员签字：</w:t>
      </w:r>
    </w:p>
    <w:p w14:paraId="73BB38D1">
      <w:pPr>
        <w:keepNext w:val="0"/>
        <w:keepLines w:val="0"/>
        <w:pageBreakBefore w:val="0"/>
        <w:widowControl w:val="0"/>
        <w:kinsoku/>
        <w:wordWrap/>
        <w:overflowPunct/>
        <w:topLinePunct w:val="0"/>
        <w:autoSpaceDE/>
        <w:autoSpaceDN/>
        <w:bidi w:val="0"/>
        <w:adjustRightInd/>
        <w:snapToGrid/>
        <w:spacing w:line="900" w:lineRule="exact"/>
        <w:ind w:firstLine="0" w:firstLineChars="0"/>
        <w:textAlignment w:val="auto"/>
        <w:rPr>
          <w:rFonts w:hint="eastAsia"/>
          <w:sz w:val="32"/>
          <w:szCs w:val="22"/>
          <w:lang w:val="en-US" w:eastAsia="zh-CN"/>
        </w:rPr>
      </w:pPr>
      <w:r>
        <w:rPr>
          <w:rFonts w:hint="eastAsia"/>
          <w:sz w:val="32"/>
          <w:szCs w:val="22"/>
          <w:lang w:val="en-US" w:eastAsia="zh-CN"/>
        </w:rPr>
        <w:t>区自然资源分局参会人员签字：</w:t>
      </w:r>
    </w:p>
    <w:p w14:paraId="064B4221">
      <w:pPr>
        <w:rPr>
          <w:rFonts w:hint="eastAsia"/>
          <w:lang w:val="en-US" w:eastAsia="zh-CN"/>
        </w:rPr>
      </w:pPr>
    </w:p>
    <w:p w14:paraId="2058D225">
      <w:pPr>
        <w:pStyle w:val="2"/>
        <w:rPr>
          <w:rFonts w:hint="eastAsia"/>
          <w:lang w:val="en-US" w:eastAsia="zh-CN"/>
        </w:rPr>
      </w:pPr>
    </w:p>
    <w:p w14:paraId="4B383EEC">
      <w:pPr>
        <w:pStyle w:val="2"/>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2312">
    <w:altName w:val="方正仿宋_GBK"/>
    <w:panose1 w:val="02020603050005020304"/>
    <w:charset w:val="00"/>
    <w:family w:val="roman"/>
    <w:pitch w:val="default"/>
    <w:sig w:usb0="00000000" w:usb1="00000000" w:usb2="00000008" w:usb3="00000000" w:csb0="000001FF" w:csb1="00000000"/>
  </w:font>
  <w:font w:name="国标宋体-超大字符集扩">
    <w:panose1 w:val="000005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DF2976"/>
    <w:multiLevelType w:val="multilevel"/>
    <w:tmpl w:val="6EDF2976"/>
    <w:lvl w:ilvl="0" w:tentative="0">
      <w:start w:val="1"/>
      <w:numFmt w:val="decimal"/>
      <w:lvlText w:val="%1."/>
      <w:lvlJc w:val="left"/>
      <w:pPr>
        <w:ind w:left="1080" w:hanging="36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12575B"/>
    <w:rsid w:val="0BAA1044"/>
    <w:rsid w:val="0C41302A"/>
    <w:rsid w:val="1D1907E7"/>
    <w:rsid w:val="219C3298"/>
    <w:rsid w:val="2A091242"/>
    <w:rsid w:val="31A842D1"/>
    <w:rsid w:val="32C14110"/>
    <w:rsid w:val="33BB62A3"/>
    <w:rsid w:val="36A66819"/>
    <w:rsid w:val="37D64BA7"/>
    <w:rsid w:val="3BC8731D"/>
    <w:rsid w:val="3EE82ACD"/>
    <w:rsid w:val="416E4964"/>
    <w:rsid w:val="5184720E"/>
    <w:rsid w:val="53381BE3"/>
    <w:rsid w:val="53FFF301"/>
    <w:rsid w:val="59AB047D"/>
    <w:rsid w:val="5B7C5158"/>
    <w:rsid w:val="60432BC6"/>
    <w:rsid w:val="61C4459C"/>
    <w:rsid w:val="69D26235"/>
    <w:rsid w:val="6F37100A"/>
    <w:rsid w:val="7D952517"/>
    <w:rsid w:val="DA4FB1D0"/>
    <w:rsid w:val="DFAFBD4D"/>
    <w:rsid w:val="E77D64A6"/>
    <w:rsid w:val="F3BDA28B"/>
    <w:rsid w:val="F7F4692D"/>
    <w:rsid w:val="F7FE5E0D"/>
    <w:rsid w:val="FD336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0" w:lineRule="exact"/>
      <w:ind w:firstLine="800" w:firstLineChars="200"/>
      <w:jc w:val="both"/>
    </w:pPr>
    <w:rPr>
      <w:rFonts w:ascii="仿宋_GB2312" w:hAnsi="仿宋_GB2312" w:eastAsia="仿宋_GB2312" w:cstheme="minorBidi"/>
      <w:kern w:val="2"/>
      <w:sz w:val="32"/>
      <w:szCs w:val="22"/>
      <w:lang w:val="en-US" w:eastAsia="zh-CN" w:bidi="ar-SA"/>
    </w:rPr>
  </w:style>
  <w:style w:type="paragraph" w:styleId="3">
    <w:name w:val="heading 1"/>
    <w:basedOn w:val="1"/>
    <w:next w:val="1"/>
    <w:qFormat/>
    <w:uiPriority w:val="0"/>
    <w:pPr>
      <w:keepNext/>
      <w:keepLines/>
      <w:spacing w:beforeLines="0" w:beforeAutospacing="0" w:afterLines="0" w:afterAutospacing="0" w:line="580" w:lineRule="exact"/>
      <w:ind w:firstLine="880" w:firstLineChars="200"/>
      <w:outlineLvl w:val="0"/>
    </w:pPr>
    <w:rPr>
      <w:rFonts w:ascii="黑体" w:hAnsi="黑体" w:eastAsia="黑体"/>
      <w:kern w:val="44"/>
      <w:szCs w:val="22"/>
    </w:rPr>
  </w:style>
  <w:style w:type="paragraph" w:styleId="4">
    <w:name w:val="heading 2"/>
    <w:basedOn w:val="1"/>
    <w:next w:val="1"/>
    <w:semiHidden/>
    <w:unhideWhenUsed/>
    <w:qFormat/>
    <w:uiPriority w:val="0"/>
    <w:pPr>
      <w:spacing w:before="0" w:beforeAutospacing="0" w:after="0" w:afterAutospacing="0"/>
      <w:jc w:val="left"/>
      <w:outlineLvl w:val="1"/>
    </w:pPr>
    <w:rPr>
      <w:rFonts w:ascii="楷体_GB2312" w:hAnsi="楷体_GB2312" w:eastAsia="楷体_GB2312" w:cs="宋体"/>
      <w:bCs/>
      <w:kern w:val="0"/>
      <w:szCs w:val="36"/>
      <w:lang w:bidi="ar"/>
    </w:rPr>
  </w:style>
  <w:style w:type="paragraph" w:styleId="5">
    <w:name w:val="heading 3"/>
    <w:basedOn w:val="1"/>
    <w:next w:val="1"/>
    <w:unhideWhenUsed/>
    <w:qFormat/>
    <w:uiPriority w:val="0"/>
    <w:pPr>
      <w:spacing w:before="0" w:beforeAutospacing="0" w:after="0" w:afterAutospacing="0"/>
      <w:ind w:firstLine="0" w:firstLineChars="0"/>
      <w:jc w:val="center"/>
      <w:outlineLvl w:val="2"/>
    </w:pPr>
    <w:rPr>
      <w:rFonts w:ascii="方正小标宋简体" w:hAnsi="方正小标宋简体" w:eastAsia="方正小标宋简体" w:cs="宋体"/>
      <w:bCs/>
      <w:kern w:val="0"/>
      <w:sz w:val="44"/>
      <w:szCs w:val="27"/>
      <w:lang w:bidi="ar"/>
    </w:rPr>
  </w:style>
  <w:style w:type="paragraph" w:styleId="6">
    <w:name w:val="heading 4"/>
    <w:basedOn w:val="1"/>
    <w:next w:val="1"/>
    <w:semiHidden/>
    <w:unhideWhenUsed/>
    <w:qFormat/>
    <w:uiPriority w:val="0"/>
    <w:pPr>
      <w:keepNext/>
      <w:keepLines/>
      <w:spacing w:beforeLines="0" w:beforeAutospacing="0" w:afterLines="0" w:afterAutospacing="0" w:line="580" w:lineRule="exact"/>
      <w:outlineLvl w:val="3"/>
    </w:pPr>
    <w:rPr>
      <w:rFonts w:ascii="仿宋_GB2312" w:hAnsi="仿宋_GB2312" w:eastAsia="仿宋_GB2312"/>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0"/>
    <w:pPr>
      <w:widowControl w:val="0"/>
      <w:spacing w:before="0" w:after="120" w:line="480" w:lineRule="auto"/>
      <w:ind w:left="420" w:leftChars="200" w:right="0"/>
      <w:jc w:val="both"/>
    </w:pPr>
    <w:rPr>
      <w:rFonts w:ascii="Times New Roman" w:hAnsi="Times New Roman" w:eastAsia="宋体" w:cs="Times New Roman"/>
      <w:kern w:val="2"/>
      <w:sz w:val="21"/>
      <w:szCs w:val="24"/>
      <w:lang w:val="en-US" w:eastAsia="zh-CN" w:bidi="ar-SA"/>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4897</Words>
  <Characters>5060</Characters>
  <Lines>0</Lines>
  <Paragraphs>0</Paragraphs>
  <TotalTime>1</TotalTime>
  <ScaleCrop>false</ScaleCrop>
  <LinksUpToDate>false</LinksUpToDate>
  <CharactersWithSpaces>5091</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2026-06-14T09:38:00Z</dcterms:created>
  <dc:creator>土壤处1</dc:creator>
  <cp:lastModifiedBy>LIAOHE</cp:lastModifiedBy>
  <dcterms:modified xsi:type="dcterms:W3CDTF">2026-07-28T16:42:56Z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09E7312D9C710D523205686A08DC24A7_43</vt:lpwstr>
  </property>
  <property fmtid="{D5CDD505-2E9C-101B-9397-08002B2CF9AE}" pid="4" name="KSOTemplateDocerSaveRecord">
    <vt:lpwstr>eyJoZGlkIjoiNjM4ZjY3YTEzNDYzM2Q1YjhiZGNiMTU4NWYxMTJiMDQiLCJ1c2VySWQiOiIyMzQ5ODQ0NzMifQ==</vt:lpwstr>
  </property>
</Properties>
</file>