
<file path=[Content_Types].xml><?xml version="1.0" encoding="utf-8"?>
<Types xmlns="http://schemas.openxmlformats.org/package/2006/content-types">
  <Default Extension="xml" ContentType="application/xml"/>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sz w:val="44"/>
          <w:szCs w:val="44"/>
        </w:rPr>
      </w:pPr>
      <w:bookmarkStart w:id="0" w:name="_Hlk83821142"/>
      <w:bookmarkStart w:id="156" w:name="_GoBack"/>
      <w:bookmarkEnd w:id="156"/>
    </w:p>
    <w:p>
      <w:pPr>
        <w:ind w:firstLine="0" w:firstLineChars="0"/>
        <w:jc w:val="center"/>
        <w:rPr>
          <w:sz w:val="44"/>
          <w:szCs w:val="44"/>
        </w:rPr>
      </w:pPr>
    </w:p>
    <w:p>
      <w:pPr>
        <w:ind w:firstLine="0" w:firstLineChars="0"/>
        <w:jc w:val="center"/>
        <w:rPr>
          <w:sz w:val="44"/>
          <w:szCs w:val="44"/>
        </w:rPr>
      </w:pPr>
    </w:p>
    <w:p>
      <w:pPr>
        <w:ind w:firstLine="0" w:firstLineChars="0"/>
        <w:jc w:val="center"/>
        <w:rPr>
          <w:rFonts w:eastAsia="华文中宋"/>
          <w:sz w:val="44"/>
          <w:szCs w:val="44"/>
        </w:rPr>
      </w:pPr>
      <w:bookmarkStart w:id="1" w:name="_Hlk76979352"/>
      <w:r>
        <w:rPr>
          <w:rFonts w:hint="eastAsia" w:eastAsia="华文中宋" w:cs="华文中宋"/>
          <w:sz w:val="44"/>
          <w:szCs w:val="44"/>
        </w:rPr>
        <w:t>沈阳市畜禽养殖污染防治规划</w:t>
      </w:r>
    </w:p>
    <w:p>
      <w:pPr>
        <w:ind w:firstLine="0" w:firstLineChars="0"/>
        <w:jc w:val="center"/>
        <w:rPr>
          <w:rFonts w:eastAsia="华文中宋"/>
          <w:sz w:val="44"/>
          <w:szCs w:val="44"/>
        </w:rPr>
      </w:pPr>
      <w:r>
        <w:rPr>
          <w:rFonts w:eastAsia="华文中宋"/>
          <w:sz w:val="44"/>
          <w:szCs w:val="44"/>
        </w:rPr>
        <w:t>(2021-2025</w:t>
      </w:r>
      <w:r>
        <w:rPr>
          <w:rFonts w:hint="eastAsia" w:eastAsia="华文中宋" w:cs="华文中宋"/>
          <w:sz w:val="44"/>
          <w:szCs w:val="44"/>
        </w:rPr>
        <w:t>年</w:t>
      </w:r>
      <w:r>
        <w:rPr>
          <w:rFonts w:eastAsia="华文中宋"/>
          <w:sz w:val="44"/>
          <w:szCs w:val="44"/>
        </w:rPr>
        <w:t>)</w:t>
      </w:r>
    </w:p>
    <w:bookmarkEnd w:id="1"/>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sz w:val="32"/>
          <w:szCs w:val="32"/>
        </w:rPr>
      </w:pPr>
    </w:p>
    <w:p>
      <w:pPr>
        <w:ind w:firstLine="0" w:firstLineChars="0"/>
        <w:jc w:val="center"/>
        <w:rPr>
          <w:rFonts w:eastAsia="华文中宋"/>
        </w:rPr>
      </w:pPr>
      <w:r>
        <w:rPr>
          <w:rFonts w:hint="eastAsia" w:eastAsia="华文中宋" w:cs="华文中宋"/>
        </w:rPr>
        <w:t>沈阳市生态环境局</w:t>
      </w:r>
    </w:p>
    <w:p>
      <w:pPr>
        <w:ind w:firstLine="0" w:firstLineChars="0"/>
        <w:jc w:val="center"/>
        <w:rPr>
          <w:rFonts w:eastAsia="华文中宋"/>
        </w:rPr>
      </w:pPr>
      <w:r>
        <w:rPr>
          <w:rFonts w:hint="eastAsia" w:eastAsia="华文中宋" w:cs="华文中宋"/>
        </w:rPr>
        <w:t>二〇二一年十二月</w:t>
      </w:r>
    </w:p>
    <w:bookmarkEnd w:id="0"/>
    <w:p>
      <w:pPr>
        <w:widowControl/>
        <w:spacing w:line="240" w:lineRule="auto"/>
        <w:ind w:firstLine="0" w:firstLineChars="0"/>
        <w:jc w:val="center"/>
        <w:rPr>
          <w:sz w:val="32"/>
          <w:szCs w:val="32"/>
        </w:rPr>
        <w:sectPr>
          <w:headerReference r:id="rId6" w:type="first"/>
          <w:footerReference r:id="rId8" w:type="first"/>
          <w:headerReference r:id="rId5" w:type="default"/>
          <w:footerReference r:id="rId7" w:type="default"/>
          <w:pgSz w:w="11906" w:h="16838"/>
          <w:pgMar w:top="1440" w:right="1800" w:bottom="1440" w:left="1800" w:header="851" w:footer="992" w:gutter="0"/>
          <w:cols w:space="425" w:num="1"/>
          <w:titlePg/>
          <w:docGrid w:type="lines" w:linePitch="326" w:charSpace="0"/>
        </w:sectPr>
      </w:pPr>
    </w:p>
    <w:p>
      <w:pPr>
        <w:widowControl/>
        <w:spacing w:line="240" w:lineRule="auto"/>
        <w:ind w:firstLine="0" w:firstLineChars="0"/>
        <w:jc w:val="left"/>
        <w:rPr>
          <w:sz w:val="32"/>
          <w:szCs w:val="32"/>
        </w:rPr>
      </w:pPr>
      <w:r>
        <w:rPr>
          <w:sz w:val="32"/>
          <w:szCs w:val="32"/>
        </w:rPr>
        <w:br w:type="page"/>
      </w:r>
    </w:p>
    <w:p>
      <w:pPr>
        <w:widowControl/>
        <w:ind w:firstLine="31680"/>
        <w:jc w:val="center"/>
        <w:rPr>
          <w:b/>
          <w:bCs/>
          <w:sz w:val="32"/>
          <w:szCs w:val="32"/>
        </w:rPr>
      </w:pPr>
      <w:r>
        <w:rPr>
          <w:rFonts w:hint="eastAsia" w:cs="仿宋"/>
          <w:b/>
          <w:bCs/>
          <w:sz w:val="32"/>
          <w:szCs w:val="32"/>
        </w:rPr>
        <w:t>目</w:t>
      </w:r>
      <w:r>
        <w:rPr>
          <w:b/>
          <w:bCs/>
          <w:sz w:val="32"/>
          <w:szCs w:val="32"/>
        </w:rPr>
        <w:t xml:space="preserve">  </w:t>
      </w:r>
      <w:r>
        <w:rPr>
          <w:rFonts w:hint="eastAsia" w:cs="仿宋"/>
          <w:b/>
          <w:bCs/>
          <w:sz w:val="32"/>
          <w:szCs w:val="32"/>
        </w:rPr>
        <w:t>录</w:t>
      </w:r>
    </w:p>
    <w:p>
      <w:pPr>
        <w:pStyle w:val="15"/>
        <w:ind w:firstLine="31680"/>
        <w:rPr>
          <w:rFonts w:ascii="等线" w:hAnsi="等线" w:eastAsia="等线"/>
          <w:sz w:val="21"/>
          <w:szCs w:val="21"/>
        </w:rPr>
      </w:pPr>
      <w:r>
        <w:rPr>
          <w:sz w:val="32"/>
          <w:szCs w:val="32"/>
        </w:rPr>
        <w:fldChar w:fldCharType="begin"/>
      </w:r>
      <w:r>
        <w:rPr>
          <w:sz w:val="32"/>
          <w:szCs w:val="32"/>
        </w:rPr>
        <w:instrText xml:space="preserve"> TOC \o "1-2" \h \z \u </w:instrText>
      </w:r>
      <w:r>
        <w:rPr>
          <w:sz w:val="32"/>
          <w:szCs w:val="32"/>
        </w:rPr>
        <w:fldChar w:fldCharType="separate"/>
      </w:r>
      <w:r>
        <w:fldChar w:fldCharType="begin"/>
      </w:r>
      <w:r>
        <w:instrText xml:space="preserve"> HYPERLINK \l "_Toc90558523" </w:instrText>
      </w:r>
      <w:r>
        <w:fldChar w:fldCharType="separate"/>
      </w:r>
      <w:r>
        <w:rPr>
          <w:rStyle w:val="25"/>
        </w:rPr>
        <w:t>1</w:t>
      </w:r>
      <w:r>
        <w:rPr>
          <w:rStyle w:val="25"/>
          <w:rFonts w:hint="eastAsia" w:cs="仿宋"/>
        </w:rPr>
        <w:t>、总则</w:t>
      </w:r>
      <w:r>
        <w:tab/>
      </w:r>
      <w:r>
        <w:fldChar w:fldCharType="begin"/>
      </w:r>
      <w:r>
        <w:instrText xml:space="preserve"> PAGEREF _Toc90558523 \h </w:instrText>
      </w:r>
      <w:r>
        <w:fldChar w:fldCharType="separate"/>
      </w:r>
      <w:r>
        <w:t>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"_Toc90558524" </w:instrText>
      </w:r>
      <w:r>
        <w:fldChar w:fldCharType="separate"/>
      </w:r>
      <w:r>
        <w:rPr>
          <w:rStyle w:val="25"/>
        </w:rPr>
        <w:t>1.1</w:t>
      </w:r>
      <w:r>
        <w:rPr>
          <w:rStyle w:val="25"/>
          <w:rFonts w:hint="eastAsia" w:cs="仿宋"/>
        </w:rPr>
        <w:t>背景</w:t>
      </w:r>
      <w:r>
        <w:tab/>
      </w:r>
      <w:r>
        <w:fldChar w:fldCharType="begin"/>
      </w:r>
      <w:r>
        <w:instrText xml:space="preserve"> PAGEREF _Toc90558524 \h </w:instrText>
      </w:r>
      <w:r>
        <w:fldChar w:fldCharType="separate"/>
      </w:r>
      <w:r>
        <w:t>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"_Toc90558525" </w:instrText>
      </w:r>
      <w:r>
        <w:fldChar w:fldCharType="separate"/>
      </w:r>
      <w:r>
        <w:rPr>
          <w:rStyle w:val="25"/>
        </w:rPr>
        <w:t>1.2</w:t>
      </w:r>
      <w:r>
        <w:rPr>
          <w:rStyle w:val="25"/>
          <w:rFonts w:hint="eastAsia" w:cs="仿宋"/>
        </w:rPr>
        <w:t>编制依据</w:t>
      </w:r>
      <w:r>
        <w:tab/>
      </w:r>
      <w:r>
        <w:fldChar w:fldCharType="begin"/>
      </w:r>
      <w:r>
        <w:instrText xml:space="preserve"> PAGEREF _Toc90558525 \h </w:instrText>
      </w:r>
      <w:r>
        <w:fldChar w:fldCharType="separate"/>
      </w:r>
      <w:r>
        <w:t>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"_Toc90558526" </w:instrText>
      </w:r>
      <w:r>
        <w:fldChar w:fldCharType="separate"/>
      </w:r>
      <w:r>
        <w:rPr>
          <w:rStyle w:val="25"/>
        </w:rPr>
        <w:t>1.3</w:t>
      </w:r>
      <w:r>
        <w:rPr>
          <w:rStyle w:val="25"/>
          <w:rFonts w:hint="eastAsia" w:cs="仿宋"/>
        </w:rPr>
        <w:t>规划期限和范围</w:t>
      </w:r>
      <w:r>
        <w:tab/>
      </w:r>
      <w:r>
        <w:fldChar w:fldCharType="begin"/>
      </w:r>
      <w:r>
        <w:instrText xml:space="preserve"> PAGEREF _Toc90558526 \h </w:instrText>
      </w:r>
      <w:r>
        <w:fldChar w:fldCharType="separate"/>
      </w:r>
      <w:r>
        <w:t>5</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"_Toc90558527" </w:instrText>
      </w:r>
      <w:r>
        <w:fldChar w:fldCharType="separate"/>
      </w:r>
      <w:r>
        <w:rPr>
          <w:rStyle w:val="25"/>
        </w:rPr>
        <w:t>2</w:t>
      </w:r>
      <w:r>
        <w:rPr>
          <w:rStyle w:val="25"/>
          <w:rFonts w:hint="eastAsia" w:cs="仿宋"/>
        </w:rPr>
        <w:t>、区域概况</w:t>
      </w:r>
      <w:r>
        <w:tab/>
      </w:r>
      <w:r>
        <w:fldChar w:fldCharType="begin"/>
      </w:r>
      <w:r>
        <w:instrText xml:space="preserve"> PAGEREF _Toc90558527 \h </w:instrText>
      </w:r>
      <w:r>
        <w:fldChar w:fldCharType="separate"/>
      </w:r>
      <w:r>
        <w:t>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"_Toc90558528" </w:instrText>
      </w:r>
      <w:r>
        <w:fldChar w:fldCharType="separate"/>
      </w:r>
      <w:r>
        <w:rPr>
          <w:rStyle w:val="25"/>
        </w:rPr>
        <w:t>2.1</w:t>
      </w:r>
      <w:r>
        <w:rPr>
          <w:rStyle w:val="25"/>
          <w:rFonts w:hint="eastAsia" w:cs="仿宋"/>
        </w:rPr>
        <w:t>自然条件概况</w:t>
      </w:r>
      <w:r>
        <w:tab/>
      </w:r>
      <w:r>
        <w:fldChar w:fldCharType="begin"/>
      </w:r>
      <w:r>
        <w:instrText xml:space="preserve"> PAGEREF _Toc90558528 \h </w:instrText>
      </w:r>
      <w:r>
        <w:fldChar w:fldCharType="separate"/>
      </w:r>
      <w:r>
        <w:t>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"_Toc90558529" </w:instrText>
      </w:r>
      <w:r>
        <w:fldChar w:fldCharType="separate"/>
      </w:r>
      <w:r>
        <w:rPr>
          <w:rStyle w:val="25"/>
        </w:rPr>
        <w:t>2.2</w:t>
      </w:r>
      <w:r>
        <w:rPr>
          <w:rStyle w:val="25"/>
          <w:rFonts w:hint="eastAsia" w:cs="仿宋"/>
        </w:rPr>
        <w:t>社会经济概况</w:t>
      </w:r>
      <w:r>
        <w:tab/>
      </w:r>
      <w:r>
        <w:fldChar w:fldCharType="begin"/>
      </w:r>
      <w:r>
        <w:instrText xml:space="preserve"> PAGEREF _Toc90558529 \h </w:instrText>
      </w:r>
      <w:r>
        <w:fldChar w:fldCharType="separate"/>
      </w:r>
      <w:r>
        <w:t>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"_Toc90558530" </w:instrText>
      </w:r>
      <w:r>
        <w:fldChar w:fldCharType="separate"/>
      </w:r>
      <w:r>
        <w:rPr>
          <w:rStyle w:val="25"/>
        </w:rPr>
        <w:t>2.3</w:t>
      </w:r>
      <w:r>
        <w:rPr>
          <w:rStyle w:val="25"/>
          <w:rFonts w:hint="eastAsia" w:cs="仿宋"/>
        </w:rPr>
        <w:t>生态环境概况</w:t>
      </w:r>
      <w:r>
        <w:tab/>
      </w:r>
      <w:r>
        <w:fldChar w:fldCharType="begin"/>
      </w:r>
      <w:r>
        <w:instrText xml:space="preserve"> PAGEREF _Toc90558530 \h </w:instrText>
      </w:r>
      <w:r>
        <w:fldChar w:fldCharType="separate"/>
      </w:r>
      <w:r>
        <w:t>12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"_Toc90558531" </w:instrText>
      </w:r>
      <w:r>
        <w:fldChar w:fldCharType="separate"/>
      </w:r>
      <w:r>
        <w:rPr>
          <w:rStyle w:val="25"/>
        </w:rPr>
        <w:t>2.4</w:t>
      </w:r>
      <w:r>
        <w:rPr>
          <w:rStyle w:val="25"/>
          <w:rFonts w:hint="eastAsia" w:cs="仿宋"/>
        </w:rPr>
        <w:t>养殖污染防治现状</w:t>
      </w:r>
      <w:r>
        <w:tab/>
      </w:r>
      <w:r>
        <w:fldChar w:fldCharType="begin"/>
      </w:r>
      <w:r>
        <w:instrText xml:space="preserve"> PAGEREF _Toc90558531 \h </w:instrText>
      </w:r>
      <w:r>
        <w:fldChar w:fldCharType="separate"/>
      </w:r>
      <w:r>
        <w:t>16</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"_Toc90558532" </w:instrText>
      </w:r>
      <w:r>
        <w:fldChar w:fldCharType="separate"/>
      </w:r>
      <w:r>
        <w:rPr>
          <w:rStyle w:val="25"/>
        </w:rPr>
        <w:t>3</w:t>
      </w:r>
      <w:r>
        <w:rPr>
          <w:rStyle w:val="25"/>
          <w:rFonts w:hint="eastAsia" w:cs="仿宋"/>
        </w:rPr>
        <w:t>、指标目标</w:t>
      </w:r>
      <w:r>
        <w:tab/>
      </w:r>
      <w:r>
        <w:fldChar w:fldCharType="begin"/>
      </w:r>
      <w:r>
        <w:instrText xml:space="preserve"> PAGEREF _Toc90558532 \h </w:instrText>
      </w:r>
      <w:r>
        <w:fldChar w:fldCharType="separate"/>
      </w:r>
      <w:r>
        <w:t>21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"_Toc90558533" </w:instrText>
      </w:r>
      <w:r>
        <w:fldChar w:fldCharType="separate"/>
      </w:r>
      <w:r>
        <w:rPr>
          <w:rStyle w:val="25"/>
        </w:rPr>
        <w:t>3.1</w:t>
      </w:r>
      <w:r>
        <w:rPr>
          <w:rStyle w:val="25"/>
          <w:rFonts w:hint="eastAsia" w:cs="仿宋"/>
        </w:rPr>
        <w:t>规划目标</w:t>
      </w:r>
      <w:r>
        <w:tab/>
      </w:r>
      <w:r>
        <w:fldChar w:fldCharType="begin"/>
      </w:r>
      <w:r>
        <w:instrText xml:space="preserve"> PAGEREF _Toc90558533 \h </w:instrText>
      </w:r>
      <w:r>
        <w:fldChar w:fldCharType="separate"/>
      </w:r>
      <w:r>
        <w:t>21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"_Toc90558534" </w:instrText>
      </w:r>
      <w:r>
        <w:fldChar w:fldCharType="separate"/>
      </w:r>
      <w:r>
        <w:rPr>
          <w:rStyle w:val="25"/>
        </w:rPr>
        <w:t>3.2</w:t>
      </w:r>
      <w:r>
        <w:rPr>
          <w:rStyle w:val="25"/>
          <w:rFonts w:hint="eastAsia" w:cs="仿宋"/>
        </w:rPr>
        <w:t>畜禽粪污环境承载力测算</w:t>
      </w:r>
      <w:r>
        <w:tab/>
      </w:r>
      <w:r>
        <w:fldChar w:fldCharType="begin"/>
      </w:r>
      <w:r>
        <w:instrText xml:space="preserve"> PAGEREF _Toc90558534 \h </w:instrText>
      </w:r>
      <w:r>
        <w:fldChar w:fldCharType="separate"/>
      </w:r>
      <w:r>
        <w:t>21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"_Toc90558535" </w:instrText>
      </w:r>
      <w:r>
        <w:fldChar w:fldCharType="separate"/>
      </w:r>
      <w:r>
        <w:rPr>
          <w:rStyle w:val="25"/>
        </w:rPr>
        <w:t>3.3</w:t>
      </w:r>
      <w:r>
        <w:rPr>
          <w:rStyle w:val="25"/>
          <w:rFonts w:hint="eastAsia" w:cs="仿宋"/>
        </w:rPr>
        <w:t>目标可达性分析</w:t>
      </w:r>
      <w:r>
        <w:tab/>
      </w:r>
      <w:r>
        <w:fldChar w:fldCharType="begin"/>
      </w:r>
      <w:r>
        <w:instrText xml:space="preserve"> PAGEREF _Toc90558535 \h </w:instrText>
      </w:r>
      <w:r>
        <w:fldChar w:fldCharType="separate"/>
      </w:r>
      <w:r>
        <w:t>24</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"_Toc90558536" </w:instrText>
      </w:r>
      <w:r>
        <w:fldChar w:fldCharType="separate"/>
      </w:r>
      <w:r>
        <w:rPr>
          <w:rStyle w:val="25"/>
        </w:rPr>
        <w:t>4</w:t>
      </w:r>
      <w:r>
        <w:rPr>
          <w:rStyle w:val="25"/>
          <w:rFonts w:hint="eastAsia" w:cs="仿宋"/>
        </w:rPr>
        <w:t>、畜禽养殖污染防治主要任务</w:t>
      </w:r>
      <w:r>
        <w:tab/>
      </w:r>
      <w:r>
        <w:fldChar w:fldCharType="begin"/>
      </w:r>
      <w:r>
        <w:instrText xml:space="preserve"> PAGEREF _Toc90558536 \h </w:instrText>
      </w:r>
      <w:r>
        <w:fldChar w:fldCharType="separate"/>
      </w:r>
      <w:r>
        <w:t>24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"_Toc90558537" </w:instrText>
      </w:r>
      <w:r>
        <w:fldChar w:fldCharType="separate"/>
      </w:r>
      <w:r>
        <w:rPr>
          <w:rStyle w:val="25"/>
        </w:rPr>
        <w:t>4.1</w:t>
      </w:r>
      <w:r>
        <w:rPr>
          <w:rStyle w:val="25"/>
          <w:rFonts w:hint="eastAsia" w:cs="仿宋"/>
        </w:rPr>
        <w:t>畜禽养殖污染治理总体要求</w:t>
      </w:r>
      <w:r>
        <w:tab/>
      </w:r>
      <w:r>
        <w:fldChar w:fldCharType="begin"/>
      </w:r>
      <w:r>
        <w:instrText xml:space="preserve"> PAGEREF _Toc90558537 \h </w:instrText>
      </w:r>
      <w:r>
        <w:fldChar w:fldCharType="separate"/>
      </w:r>
      <w:r>
        <w:t>24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"_Toc90558538" </w:instrText>
      </w:r>
      <w:r>
        <w:fldChar w:fldCharType="separate"/>
      </w:r>
      <w:r>
        <w:rPr>
          <w:rStyle w:val="25"/>
        </w:rPr>
        <w:t>4.2</w:t>
      </w:r>
      <w:r>
        <w:rPr>
          <w:rStyle w:val="25"/>
          <w:rFonts w:hint="eastAsia" w:cs="仿宋"/>
        </w:rPr>
        <w:t>提升畜禽粪污资源化利用水平</w:t>
      </w:r>
      <w:r>
        <w:tab/>
      </w:r>
      <w:r>
        <w:fldChar w:fldCharType="begin"/>
      </w:r>
      <w:r>
        <w:instrText xml:space="preserve"> PAGEREF _Toc90558538 \h </w:instrText>
      </w:r>
      <w:r>
        <w:fldChar w:fldCharType="separate"/>
      </w:r>
      <w:r>
        <w:t>26</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"_Toc90558539" </w:instrText>
      </w:r>
      <w:r>
        <w:fldChar w:fldCharType="separate"/>
      </w:r>
      <w:r>
        <w:rPr>
          <w:rStyle w:val="25"/>
        </w:rPr>
        <w:t>4.3</w:t>
      </w:r>
      <w:r>
        <w:rPr>
          <w:rStyle w:val="25"/>
          <w:rFonts w:hint="eastAsia" w:cs="仿宋"/>
        </w:rPr>
        <w:t>完善粪污处理利用设施</w:t>
      </w:r>
      <w:r>
        <w:tab/>
      </w:r>
      <w:r>
        <w:fldChar w:fldCharType="begin"/>
      </w:r>
      <w:r>
        <w:instrText xml:space="preserve"> PAGEREF _Toc90558539 \h </w:instrText>
      </w:r>
      <w:r>
        <w:fldChar w:fldCharType="separate"/>
      </w:r>
      <w:r>
        <w:t>29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"_Toc90558540" </w:instrText>
      </w:r>
      <w:r>
        <w:fldChar w:fldCharType="separate"/>
      </w:r>
      <w:r>
        <w:rPr>
          <w:rStyle w:val="25"/>
        </w:rPr>
        <w:t xml:space="preserve">4.4 </w:t>
      </w:r>
      <w:r>
        <w:rPr>
          <w:rStyle w:val="25"/>
          <w:rFonts w:hint="eastAsia" w:cs="仿宋"/>
        </w:rPr>
        <w:t>完善台账管理制度</w:t>
      </w:r>
      <w:r>
        <w:tab/>
      </w:r>
      <w:r>
        <w:fldChar w:fldCharType="begin"/>
      </w:r>
      <w:r>
        <w:instrText xml:space="preserve"> PAGEREF _Toc90558540 \h </w:instrText>
      </w:r>
      <w:r>
        <w:fldChar w:fldCharType="separate"/>
      </w:r>
      <w:r>
        <w:t>30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"_Toc90558541" </w:instrText>
      </w:r>
      <w:r>
        <w:fldChar w:fldCharType="separate"/>
      </w:r>
      <w:r>
        <w:rPr>
          <w:rStyle w:val="25"/>
        </w:rPr>
        <w:t>4.5</w:t>
      </w:r>
      <w:r>
        <w:rPr>
          <w:rStyle w:val="25"/>
          <w:rFonts w:hint="eastAsia" w:cs="仿宋"/>
        </w:rPr>
        <w:t>强化环境监管</w:t>
      </w:r>
      <w:r>
        <w:tab/>
      </w:r>
      <w:r>
        <w:fldChar w:fldCharType="begin"/>
      </w:r>
      <w:r>
        <w:instrText xml:space="preserve"> PAGEREF _Toc90558541 \h </w:instrText>
      </w:r>
      <w:r>
        <w:fldChar w:fldCharType="separate"/>
      </w:r>
      <w:r>
        <w:t>31</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"_Toc90558542" </w:instrText>
      </w:r>
      <w:r>
        <w:fldChar w:fldCharType="separate"/>
      </w:r>
      <w:r>
        <w:rPr>
          <w:rStyle w:val="25"/>
        </w:rPr>
        <w:t>5</w:t>
      </w:r>
      <w:r>
        <w:rPr>
          <w:rStyle w:val="25"/>
          <w:rFonts w:hint="eastAsia" w:cs="仿宋"/>
        </w:rPr>
        <w:t>、重点工程</w:t>
      </w:r>
      <w:r>
        <w:tab/>
      </w:r>
      <w:r>
        <w:fldChar w:fldCharType="begin"/>
      </w:r>
      <w:r>
        <w:instrText xml:space="preserve"> PAGEREF _Toc90558542 \h </w:instrText>
      </w:r>
      <w:r>
        <w:fldChar w:fldCharType="separate"/>
      </w:r>
      <w:r>
        <w:t>32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"_Toc90558543" </w:instrText>
      </w:r>
      <w:r>
        <w:fldChar w:fldCharType="separate"/>
      </w:r>
      <w:r>
        <w:rPr>
          <w:rStyle w:val="25"/>
        </w:rPr>
        <w:t>5.1</w:t>
      </w:r>
      <w:r>
        <w:rPr>
          <w:rStyle w:val="25"/>
          <w:rFonts w:hint="eastAsia" w:cs="仿宋"/>
        </w:rPr>
        <w:t>养殖场（户）畜禽粪污处理利用设施提升工程</w:t>
      </w:r>
      <w:r>
        <w:tab/>
      </w:r>
      <w:r>
        <w:fldChar w:fldCharType="begin"/>
      </w:r>
      <w:r>
        <w:instrText xml:space="preserve"> PAGEREF _Toc90558543 \h </w:instrText>
      </w:r>
      <w:r>
        <w:fldChar w:fldCharType="separate"/>
      </w:r>
      <w:r>
        <w:t>33</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"_Toc90558544" </w:instrText>
      </w:r>
      <w:r>
        <w:fldChar w:fldCharType="separate"/>
      </w:r>
      <w:r>
        <w:rPr>
          <w:rStyle w:val="25"/>
        </w:rPr>
        <w:t>5.2</w:t>
      </w:r>
      <w:r>
        <w:rPr>
          <w:rStyle w:val="25"/>
          <w:rFonts w:hint="eastAsia" w:cs="仿宋"/>
        </w:rPr>
        <w:t>畜禽粪污转运及集中处理中心建设工程</w:t>
      </w:r>
      <w:r>
        <w:tab/>
      </w:r>
      <w:r>
        <w:fldChar w:fldCharType="begin"/>
      </w:r>
      <w:r>
        <w:instrText xml:space="preserve"> PAGEREF _Toc90558544 \h </w:instrText>
      </w:r>
      <w:r>
        <w:fldChar w:fldCharType="separate"/>
      </w:r>
      <w:r>
        <w:t>34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"_Toc90558545" </w:instrText>
      </w:r>
      <w:r>
        <w:fldChar w:fldCharType="separate"/>
      </w:r>
      <w:r>
        <w:rPr>
          <w:rStyle w:val="25"/>
        </w:rPr>
        <w:t>5.3</w:t>
      </w:r>
      <w:r>
        <w:rPr>
          <w:rStyle w:val="25"/>
          <w:rFonts w:hint="eastAsia" w:cs="仿宋"/>
        </w:rPr>
        <w:t>田间配套设施建设工程</w:t>
      </w:r>
      <w:r>
        <w:tab/>
      </w:r>
      <w:r>
        <w:fldChar w:fldCharType="begin"/>
      </w:r>
      <w:r>
        <w:instrText xml:space="preserve"> PAGEREF _Toc90558545 \h </w:instrText>
      </w:r>
      <w:r>
        <w:fldChar w:fldCharType="separate"/>
      </w:r>
      <w:r>
        <w:t>35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"_Toc90558546" </w:instrText>
      </w:r>
      <w:r>
        <w:fldChar w:fldCharType="separate"/>
      </w:r>
      <w:r>
        <w:rPr>
          <w:rStyle w:val="25"/>
        </w:rPr>
        <w:t>5.4</w:t>
      </w:r>
      <w:r>
        <w:rPr>
          <w:rStyle w:val="25"/>
          <w:rFonts w:hint="eastAsia" w:cs="仿宋"/>
        </w:rPr>
        <w:t>病死畜禽无害化设施建设工程</w:t>
      </w:r>
      <w:r>
        <w:tab/>
      </w:r>
      <w:r>
        <w:fldChar w:fldCharType="begin"/>
      </w:r>
      <w:r>
        <w:instrText xml:space="preserve"> PAGEREF _Toc90558546 \h </w:instrText>
      </w:r>
      <w:r>
        <w:fldChar w:fldCharType="separate"/>
      </w:r>
      <w:r>
        <w:t>35</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"_Toc90558547" </w:instrText>
      </w:r>
      <w:r>
        <w:fldChar w:fldCharType="separate"/>
      </w:r>
      <w:r>
        <w:rPr>
          <w:rStyle w:val="25"/>
        </w:rPr>
        <w:t>6</w:t>
      </w:r>
      <w:r>
        <w:rPr>
          <w:rStyle w:val="25"/>
          <w:rFonts w:hint="eastAsia" w:cs="仿宋"/>
        </w:rPr>
        <w:t>、工程投资估算与资金筹措</w:t>
      </w:r>
      <w:r>
        <w:tab/>
      </w:r>
      <w:r>
        <w:fldChar w:fldCharType="begin"/>
      </w:r>
      <w:r>
        <w:instrText xml:space="preserve"> PAGEREF _Toc90558547 \h </w:instrText>
      </w:r>
      <w:r>
        <w:fldChar w:fldCharType="separate"/>
      </w:r>
      <w:r>
        <w:t>35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"_Toc90558548" </w:instrText>
      </w:r>
      <w:r>
        <w:fldChar w:fldCharType="separate"/>
      </w:r>
      <w:r>
        <w:rPr>
          <w:rStyle w:val="25"/>
        </w:rPr>
        <w:t>6.1</w:t>
      </w:r>
      <w:r>
        <w:rPr>
          <w:rStyle w:val="25"/>
          <w:rFonts w:hint="eastAsia" w:cs="仿宋"/>
        </w:rPr>
        <w:t>投资估算与资金筹措</w:t>
      </w:r>
      <w:r>
        <w:tab/>
      </w:r>
      <w:r>
        <w:fldChar w:fldCharType="begin"/>
      </w:r>
      <w:r>
        <w:instrText xml:space="preserve"> PAGEREF _Toc90558548 \h </w:instrText>
      </w:r>
      <w:r>
        <w:fldChar w:fldCharType="separate"/>
      </w:r>
      <w:r>
        <w:t>35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"_Toc90558549" </w:instrText>
      </w:r>
      <w:r>
        <w:fldChar w:fldCharType="separate"/>
      </w:r>
      <w:r>
        <w:rPr>
          <w:rStyle w:val="25"/>
        </w:rPr>
        <w:t>6.2</w:t>
      </w:r>
      <w:r>
        <w:rPr>
          <w:rStyle w:val="25"/>
          <w:rFonts w:hint="eastAsia" w:cs="仿宋"/>
        </w:rPr>
        <w:t>效益分析</w:t>
      </w:r>
      <w:r>
        <w:tab/>
      </w:r>
      <w:r>
        <w:fldChar w:fldCharType="begin"/>
      </w:r>
      <w:r>
        <w:instrText xml:space="preserve"> PAGEREF _Toc90558549 \h </w:instrText>
      </w:r>
      <w:r>
        <w:fldChar w:fldCharType="separate"/>
      </w:r>
      <w:r>
        <w:t>36</w:t>
      </w:r>
      <w:r>
        <w:fldChar w:fldCharType="end"/>
      </w:r>
      <w:r>
        <w:fldChar w:fldCharType="end"/>
      </w:r>
    </w:p>
    <w:p>
      <w:pPr>
        <w:pStyle w:val="15"/>
        <w:ind w:firstLine="31680"/>
        <w:rPr>
          <w:rFonts w:ascii="等线" w:hAnsi="等线" w:eastAsia="等线"/>
          <w:sz w:val="21"/>
          <w:szCs w:val="21"/>
        </w:rPr>
      </w:pPr>
      <w:r>
        <w:fldChar w:fldCharType="begin"/>
      </w:r>
      <w:r>
        <w:instrText xml:space="preserve"> HYPERLINK \l "_Toc90558550" </w:instrText>
      </w:r>
      <w:r>
        <w:fldChar w:fldCharType="separate"/>
      </w:r>
      <w:r>
        <w:rPr>
          <w:rStyle w:val="25"/>
        </w:rPr>
        <w:t>7</w:t>
      </w:r>
      <w:r>
        <w:rPr>
          <w:rStyle w:val="25"/>
          <w:rFonts w:hint="eastAsia" w:cs="仿宋"/>
        </w:rPr>
        <w:t>、保障措施</w:t>
      </w:r>
      <w:r>
        <w:tab/>
      </w:r>
      <w:r>
        <w:fldChar w:fldCharType="begin"/>
      </w:r>
      <w:r>
        <w:instrText xml:space="preserve"> PAGEREF _Toc90558550 \h </w:instrText>
      </w:r>
      <w:r>
        <w:fldChar w:fldCharType="separate"/>
      </w:r>
      <w:r>
        <w:t>37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"_Toc90558551" </w:instrText>
      </w:r>
      <w:r>
        <w:fldChar w:fldCharType="separate"/>
      </w:r>
      <w:r>
        <w:rPr>
          <w:rStyle w:val="25"/>
        </w:rPr>
        <w:t>7.1</w:t>
      </w:r>
      <w:r>
        <w:rPr>
          <w:rStyle w:val="25"/>
          <w:rFonts w:hint="eastAsia" w:cs="仿宋"/>
        </w:rPr>
        <w:t>加强领导，严格目标考核</w:t>
      </w:r>
      <w:r>
        <w:tab/>
      </w:r>
      <w:r>
        <w:fldChar w:fldCharType="begin"/>
      </w:r>
      <w:r>
        <w:instrText xml:space="preserve"> PAGEREF _Toc90558551 \h </w:instrText>
      </w:r>
      <w:r>
        <w:fldChar w:fldCharType="separate"/>
      </w:r>
      <w:r>
        <w:t>37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"_Toc90558552" </w:instrText>
      </w:r>
      <w:r>
        <w:fldChar w:fldCharType="separate"/>
      </w:r>
      <w:r>
        <w:rPr>
          <w:rStyle w:val="25"/>
        </w:rPr>
        <w:t>7.2</w:t>
      </w:r>
      <w:r>
        <w:rPr>
          <w:rStyle w:val="25"/>
          <w:rFonts w:hint="eastAsia" w:cs="仿宋"/>
        </w:rPr>
        <w:t>明确重点，细化措施落实</w:t>
      </w:r>
      <w:r>
        <w:tab/>
      </w:r>
      <w:r>
        <w:fldChar w:fldCharType="begin"/>
      </w:r>
      <w:r>
        <w:instrText xml:space="preserve"> PAGEREF _Toc90558552 \h </w:instrText>
      </w:r>
      <w:r>
        <w:fldChar w:fldCharType="separate"/>
      </w:r>
      <w:r>
        <w:t>38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"_Toc90558553" </w:instrText>
      </w:r>
      <w:r>
        <w:fldChar w:fldCharType="separate"/>
      </w:r>
      <w:r>
        <w:rPr>
          <w:rStyle w:val="25"/>
        </w:rPr>
        <w:t>7.3</w:t>
      </w:r>
      <w:r>
        <w:rPr>
          <w:rStyle w:val="25"/>
          <w:rFonts w:hint="eastAsia" w:cs="仿宋"/>
        </w:rPr>
        <w:t>增加投入，加大政策扶持</w:t>
      </w:r>
      <w:r>
        <w:tab/>
      </w:r>
      <w:r>
        <w:fldChar w:fldCharType="begin"/>
      </w:r>
      <w:r>
        <w:instrText xml:space="preserve"> PAGEREF _Toc90558553 \h </w:instrText>
      </w:r>
      <w:r>
        <w:fldChar w:fldCharType="separate"/>
      </w:r>
      <w:r>
        <w:t>38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"_Toc90558554" </w:instrText>
      </w:r>
      <w:r>
        <w:fldChar w:fldCharType="separate"/>
      </w:r>
      <w:r>
        <w:rPr>
          <w:rStyle w:val="25"/>
        </w:rPr>
        <w:t>7.4</w:t>
      </w:r>
      <w:r>
        <w:rPr>
          <w:rStyle w:val="25"/>
          <w:rFonts w:hint="eastAsia" w:cs="仿宋"/>
        </w:rPr>
        <w:t>加大宣传，营造治理气氛</w:t>
      </w:r>
      <w:r>
        <w:tab/>
      </w:r>
      <w:r>
        <w:fldChar w:fldCharType="begin"/>
      </w:r>
      <w:r>
        <w:instrText xml:space="preserve"> PAGEREF _Toc90558554 \h </w:instrText>
      </w:r>
      <w:r>
        <w:fldChar w:fldCharType="separate"/>
      </w:r>
      <w:r>
        <w:t>38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"_Toc90558555" </w:instrText>
      </w:r>
      <w:r>
        <w:fldChar w:fldCharType="separate"/>
      </w:r>
      <w:r>
        <w:rPr>
          <w:rStyle w:val="25"/>
          <w:rFonts w:hint="eastAsia" w:cs="仿宋"/>
        </w:rPr>
        <w:t>附表</w:t>
      </w:r>
      <w:r>
        <w:rPr>
          <w:rStyle w:val="25"/>
        </w:rPr>
        <w:t>1</w:t>
      </w:r>
      <w:r>
        <w:rPr>
          <w:rStyle w:val="25"/>
          <w:rFonts w:hint="eastAsia" w:cs="仿宋"/>
        </w:rPr>
        <w:t>区域规模养殖场基本信息清单</w:t>
      </w:r>
      <w:r>
        <w:tab/>
      </w:r>
      <w:r>
        <w:fldChar w:fldCharType="begin"/>
      </w:r>
      <w:r>
        <w:instrText xml:space="preserve"> PAGEREF _Toc90558555 \h </w:instrText>
      </w:r>
      <w:r>
        <w:fldChar w:fldCharType="separate"/>
      </w:r>
      <w:r>
        <w:t>40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"_Toc90558556" </w:instrText>
      </w:r>
      <w:r>
        <w:fldChar w:fldCharType="separate"/>
      </w:r>
      <w:r>
        <w:rPr>
          <w:rStyle w:val="25"/>
          <w:rFonts w:hint="eastAsia" w:cs="仿宋"/>
        </w:rPr>
        <w:t>附表</w:t>
      </w:r>
      <w:r>
        <w:rPr>
          <w:rStyle w:val="25"/>
        </w:rPr>
        <w:t xml:space="preserve">2 </w:t>
      </w:r>
      <w:r>
        <w:rPr>
          <w:rStyle w:val="25"/>
          <w:rFonts w:hint="eastAsia" w:cs="仿宋"/>
        </w:rPr>
        <w:t>大型畜禽规模养殖场粪污资源化利用配套土地面积要求清单</w:t>
      </w:r>
      <w:r>
        <w:tab/>
      </w:r>
      <w:r>
        <w:fldChar w:fldCharType="begin"/>
      </w:r>
      <w:r>
        <w:instrText xml:space="preserve"> PAGEREF _Toc90558556 \h </w:instrText>
      </w:r>
      <w:r>
        <w:fldChar w:fldCharType="separate"/>
      </w:r>
      <w:r>
        <w:t>64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"_Toc90558557" </w:instrText>
      </w:r>
      <w:r>
        <w:fldChar w:fldCharType="separate"/>
      </w:r>
      <w:r>
        <w:rPr>
          <w:rStyle w:val="25"/>
          <w:rFonts w:hint="eastAsia" w:cs="仿宋"/>
        </w:rPr>
        <w:t>附表</w:t>
      </w:r>
      <w:r>
        <w:rPr>
          <w:rStyle w:val="25"/>
        </w:rPr>
        <w:t xml:space="preserve">3 </w:t>
      </w:r>
      <w:r>
        <w:rPr>
          <w:rStyle w:val="25"/>
          <w:rFonts w:hint="eastAsia" w:cs="仿宋"/>
        </w:rPr>
        <w:t>畜禽粪污转运及集中处理中心建设工程清单</w:t>
      </w:r>
      <w:r>
        <w:tab/>
      </w:r>
      <w:r>
        <w:fldChar w:fldCharType="begin"/>
      </w:r>
      <w:r>
        <w:instrText xml:space="preserve"> PAGEREF _Toc90558557 \h </w:instrText>
      </w:r>
      <w:r>
        <w:fldChar w:fldCharType="separate"/>
      </w:r>
      <w:r>
        <w:t>68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"_Toc90558558" </w:instrText>
      </w:r>
      <w:r>
        <w:fldChar w:fldCharType="separate"/>
      </w:r>
      <w:r>
        <w:rPr>
          <w:rStyle w:val="25"/>
          <w:rFonts w:hint="eastAsia" w:cs="仿宋"/>
        </w:rPr>
        <w:t>附件</w:t>
      </w:r>
      <w:r>
        <w:rPr>
          <w:rStyle w:val="25"/>
        </w:rPr>
        <w:t xml:space="preserve">4 </w:t>
      </w:r>
      <w:r>
        <w:rPr>
          <w:rStyle w:val="25"/>
          <w:rFonts w:hint="eastAsia" w:cs="仿宋"/>
        </w:rPr>
        <w:t>粪便、污水储池设计要求以及运营费用</w:t>
      </w:r>
      <w:r>
        <w:tab/>
      </w:r>
      <w:r>
        <w:fldChar w:fldCharType="begin"/>
      </w:r>
      <w:r>
        <w:instrText xml:space="preserve"> PAGEREF _Toc90558558 \h </w:instrText>
      </w:r>
      <w:r>
        <w:fldChar w:fldCharType="separate"/>
      </w:r>
      <w:r>
        <w:t>70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"_Toc90558559" </w:instrText>
      </w:r>
      <w:r>
        <w:fldChar w:fldCharType="separate"/>
      </w:r>
      <w:r>
        <w:rPr>
          <w:rStyle w:val="25"/>
          <w:rFonts w:hint="eastAsia" w:cs="仿宋"/>
        </w:rPr>
        <w:t>附图</w:t>
      </w:r>
      <w:r>
        <w:rPr>
          <w:rStyle w:val="25"/>
        </w:rPr>
        <w:t xml:space="preserve">1 </w:t>
      </w:r>
      <w:r>
        <w:rPr>
          <w:rStyle w:val="25"/>
          <w:rFonts w:hint="eastAsia" w:cs="仿宋"/>
        </w:rPr>
        <w:t>沈阳市行政区划图</w:t>
      </w:r>
      <w:r>
        <w:tab/>
      </w:r>
      <w:r>
        <w:fldChar w:fldCharType="begin"/>
      </w:r>
      <w:r>
        <w:instrText xml:space="preserve"> PAGEREF _Toc90558559 \h </w:instrText>
      </w:r>
      <w:r>
        <w:fldChar w:fldCharType="separate"/>
      </w:r>
      <w:r>
        <w:t>74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"_Toc90558560" </w:instrText>
      </w:r>
      <w:r>
        <w:fldChar w:fldCharType="separate"/>
      </w:r>
      <w:r>
        <w:rPr>
          <w:rStyle w:val="25"/>
          <w:rFonts w:hint="eastAsia" w:cs="仿宋"/>
        </w:rPr>
        <w:t>附图</w:t>
      </w:r>
      <w:r>
        <w:rPr>
          <w:rStyle w:val="25"/>
        </w:rPr>
        <w:t xml:space="preserve">2 </w:t>
      </w:r>
      <w:r>
        <w:rPr>
          <w:rStyle w:val="25"/>
          <w:rFonts w:hint="eastAsia" w:cs="仿宋"/>
        </w:rPr>
        <w:t>沈阳市水系图</w:t>
      </w:r>
      <w:r>
        <w:tab/>
      </w:r>
      <w:r>
        <w:fldChar w:fldCharType="begin"/>
      </w:r>
      <w:r>
        <w:instrText xml:space="preserve"> PAGEREF _Toc90558560 \h </w:instrText>
      </w:r>
      <w:r>
        <w:fldChar w:fldCharType="separate"/>
      </w:r>
      <w:r>
        <w:t>75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"_Toc90558561" </w:instrText>
      </w:r>
      <w:r>
        <w:fldChar w:fldCharType="separate"/>
      </w:r>
      <w:r>
        <w:rPr>
          <w:rStyle w:val="25"/>
          <w:rFonts w:hint="eastAsia" w:cs="仿宋"/>
        </w:rPr>
        <w:t>附图</w:t>
      </w:r>
      <w:r>
        <w:rPr>
          <w:rStyle w:val="25"/>
        </w:rPr>
        <w:t xml:space="preserve">3 </w:t>
      </w:r>
      <w:r>
        <w:rPr>
          <w:rStyle w:val="25"/>
          <w:rFonts w:hint="eastAsia" w:cs="仿宋"/>
        </w:rPr>
        <w:t>沈阳市水功能区划图</w:t>
      </w:r>
      <w:r>
        <w:tab/>
      </w:r>
      <w:r>
        <w:fldChar w:fldCharType="begin"/>
      </w:r>
      <w:r>
        <w:instrText xml:space="preserve"> PAGEREF _Toc90558561 \h </w:instrText>
      </w:r>
      <w:r>
        <w:fldChar w:fldCharType="separate"/>
      </w:r>
      <w:r>
        <w:t>76</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"_Toc90558562" </w:instrText>
      </w:r>
      <w:r>
        <w:fldChar w:fldCharType="separate"/>
      </w:r>
      <w:r>
        <w:rPr>
          <w:rStyle w:val="25"/>
          <w:rFonts w:hint="eastAsia" w:cs="仿宋"/>
        </w:rPr>
        <w:t>附图</w:t>
      </w:r>
      <w:r>
        <w:rPr>
          <w:rStyle w:val="25"/>
        </w:rPr>
        <w:t xml:space="preserve">4 </w:t>
      </w:r>
      <w:r>
        <w:rPr>
          <w:rStyle w:val="25"/>
          <w:rFonts w:hint="eastAsia" w:cs="仿宋"/>
        </w:rPr>
        <w:t>沈阳市地表覆盖类型图</w:t>
      </w:r>
      <w:r>
        <w:tab/>
      </w:r>
      <w:r>
        <w:fldChar w:fldCharType="begin"/>
      </w:r>
      <w:r>
        <w:instrText xml:space="preserve"> PAGEREF _Toc90558562 \h </w:instrText>
      </w:r>
      <w:r>
        <w:fldChar w:fldCharType="separate"/>
      </w:r>
      <w:r>
        <w:t>77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"_Toc90558563" </w:instrText>
      </w:r>
      <w:r>
        <w:fldChar w:fldCharType="separate"/>
      </w:r>
      <w:r>
        <w:rPr>
          <w:rStyle w:val="25"/>
          <w:rFonts w:hint="eastAsia" w:cs="仿宋"/>
        </w:rPr>
        <w:t>附图</w:t>
      </w:r>
      <w:r>
        <w:rPr>
          <w:rStyle w:val="25"/>
        </w:rPr>
        <w:t xml:space="preserve">5 </w:t>
      </w:r>
      <w:r>
        <w:rPr>
          <w:rStyle w:val="25"/>
          <w:rFonts w:hint="eastAsia" w:cs="仿宋"/>
        </w:rPr>
        <w:t>沈阳市植被覆盖图</w:t>
      </w:r>
      <w:r>
        <w:tab/>
      </w:r>
      <w:r>
        <w:fldChar w:fldCharType="begin"/>
      </w:r>
      <w:r>
        <w:instrText xml:space="preserve"> PAGEREF _Toc90558563 \h </w:instrText>
      </w:r>
      <w:r>
        <w:fldChar w:fldCharType="separate"/>
      </w:r>
      <w:r>
        <w:t>78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"_Toc90558564" </w:instrText>
      </w:r>
      <w:r>
        <w:fldChar w:fldCharType="separate"/>
      </w:r>
      <w:r>
        <w:rPr>
          <w:rStyle w:val="25"/>
          <w:rFonts w:hint="eastAsia" w:cs="仿宋"/>
        </w:rPr>
        <w:t>附图</w:t>
      </w:r>
      <w:r>
        <w:rPr>
          <w:rStyle w:val="25"/>
        </w:rPr>
        <w:t xml:space="preserve">6 </w:t>
      </w:r>
      <w:r>
        <w:rPr>
          <w:rStyle w:val="25"/>
          <w:rFonts w:hint="eastAsia" w:cs="仿宋"/>
        </w:rPr>
        <w:t>规模畜禽养殖场分布示意图</w:t>
      </w:r>
      <w:r>
        <w:tab/>
      </w:r>
      <w:r>
        <w:fldChar w:fldCharType="begin"/>
      </w:r>
      <w:r>
        <w:instrText xml:space="preserve"> PAGEREF _Toc90558564 \h </w:instrText>
      </w:r>
      <w:r>
        <w:fldChar w:fldCharType="separate"/>
      </w:r>
      <w:r>
        <w:t>79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"_Toc90558565" </w:instrText>
      </w:r>
      <w:r>
        <w:fldChar w:fldCharType="separate"/>
      </w:r>
      <w:r>
        <w:rPr>
          <w:rStyle w:val="25"/>
          <w:rFonts w:hint="eastAsia" w:cs="仿宋"/>
        </w:rPr>
        <w:t>附图</w:t>
      </w:r>
      <w:r>
        <w:rPr>
          <w:rStyle w:val="25"/>
        </w:rPr>
        <w:t>6-1 92</w:t>
      </w:r>
      <w:r>
        <w:rPr>
          <w:rStyle w:val="25"/>
          <w:rFonts w:hint="eastAsia" w:cs="仿宋"/>
        </w:rPr>
        <w:t>家大型规模养殖场分布示意图</w:t>
      </w:r>
      <w:r>
        <w:tab/>
      </w:r>
      <w:r>
        <w:fldChar w:fldCharType="begin"/>
      </w:r>
      <w:r>
        <w:instrText xml:space="preserve"> PAGEREF _Toc90558565 \h </w:instrText>
      </w:r>
      <w:r>
        <w:fldChar w:fldCharType="separate"/>
      </w:r>
      <w:r>
        <w:t>80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"_Toc90558566" </w:instrText>
      </w:r>
      <w:r>
        <w:fldChar w:fldCharType="separate"/>
      </w:r>
      <w:r>
        <w:rPr>
          <w:rStyle w:val="25"/>
          <w:rFonts w:hint="eastAsia" w:cs="仿宋"/>
        </w:rPr>
        <w:t>附图</w:t>
      </w:r>
      <w:r>
        <w:rPr>
          <w:rStyle w:val="25"/>
        </w:rPr>
        <w:t xml:space="preserve">7 </w:t>
      </w:r>
      <w:r>
        <w:rPr>
          <w:rStyle w:val="25"/>
          <w:rFonts w:hint="eastAsia" w:cs="仿宋"/>
        </w:rPr>
        <w:t>沈阳市主要畜种示范区分布示意图</w:t>
      </w:r>
      <w:r>
        <w:tab/>
      </w:r>
      <w:r>
        <w:fldChar w:fldCharType="begin"/>
      </w:r>
      <w:r>
        <w:instrText xml:space="preserve"> PAGEREF _Toc90558566 \h </w:instrText>
      </w:r>
      <w:r>
        <w:fldChar w:fldCharType="separate"/>
      </w:r>
      <w:r>
        <w:t>81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"_Toc90558567" </w:instrText>
      </w:r>
      <w:r>
        <w:fldChar w:fldCharType="separate"/>
      </w:r>
      <w:r>
        <w:rPr>
          <w:rStyle w:val="25"/>
          <w:rFonts w:hint="eastAsia" w:cs="仿宋"/>
        </w:rPr>
        <w:t>附图</w:t>
      </w:r>
      <w:r>
        <w:rPr>
          <w:rStyle w:val="25"/>
        </w:rPr>
        <w:t xml:space="preserve">8 </w:t>
      </w:r>
      <w:r>
        <w:rPr>
          <w:rStyle w:val="25"/>
          <w:rFonts w:hint="eastAsia" w:cs="仿宋"/>
        </w:rPr>
        <w:t>沈阳市畜禽禁养区分布示意图</w:t>
      </w:r>
      <w:r>
        <w:tab/>
      </w:r>
      <w:r>
        <w:fldChar w:fldCharType="begin"/>
      </w:r>
      <w:r>
        <w:instrText xml:space="preserve"> PAGEREF _Toc90558567 \h </w:instrText>
      </w:r>
      <w:r>
        <w:fldChar w:fldCharType="separate"/>
      </w:r>
      <w:r>
        <w:t>82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"_Toc90558568" </w:instrText>
      </w:r>
      <w:r>
        <w:fldChar w:fldCharType="separate"/>
      </w:r>
      <w:r>
        <w:rPr>
          <w:rStyle w:val="25"/>
          <w:rFonts w:hint="eastAsia" w:cs="仿宋"/>
        </w:rPr>
        <w:t>附图</w:t>
      </w:r>
      <w:r>
        <w:rPr>
          <w:rStyle w:val="25"/>
        </w:rPr>
        <w:t>8-1</w:t>
      </w:r>
      <w:r>
        <w:rPr>
          <w:rStyle w:val="25"/>
          <w:rFonts w:hint="eastAsia" w:cs="仿宋"/>
        </w:rPr>
        <w:t>浑南区禁养区分布图</w:t>
      </w:r>
      <w:r>
        <w:tab/>
      </w:r>
      <w:r>
        <w:fldChar w:fldCharType="begin"/>
      </w:r>
      <w:r>
        <w:instrText xml:space="preserve"> PAGEREF _Toc90558568 \h </w:instrText>
      </w:r>
      <w:r>
        <w:fldChar w:fldCharType="separate"/>
      </w:r>
      <w:r>
        <w:t>83</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"_Toc90558569" </w:instrText>
      </w:r>
      <w:r>
        <w:fldChar w:fldCharType="separate"/>
      </w:r>
      <w:r>
        <w:rPr>
          <w:rStyle w:val="25"/>
          <w:rFonts w:hint="eastAsia" w:cs="仿宋"/>
        </w:rPr>
        <w:t>附图</w:t>
      </w:r>
      <w:r>
        <w:rPr>
          <w:rStyle w:val="25"/>
        </w:rPr>
        <w:t>8-2</w:t>
      </w:r>
      <w:r>
        <w:rPr>
          <w:rStyle w:val="25"/>
          <w:rFonts w:hint="eastAsia" w:cs="仿宋"/>
        </w:rPr>
        <w:t>沈北新区禁养区分布图</w:t>
      </w:r>
      <w:r>
        <w:tab/>
      </w:r>
      <w:r>
        <w:fldChar w:fldCharType="begin"/>
      </w:r>
      <w:r>
        <w:instrText xml:space="preserve"> PAGEREF _Toc90558569 \h </w:instrText>
      </w:r>
      <w:r>
        <w:fldChar w:fldCharType="separate"/>
      </w:r>
      <w:r>
        <w:t>84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"_Toc90558570" </w:instrText>
      </w:r>
      <w:r>
        <w:fldChar w:fldCharType="separate"/>
      </w:r>
      <w:r>
        <w:rPr>
          <w:rStyle w:val="25"/>
          <w:rFonts w:hint="eastAsia" w:cs="仿宋"/>
        </w:rPr>
        <w:t>附图</w:t>
      </w:r>
      <w:r>
        <w:rPr>
          <w:rStyle w:val="25"/>
        </w:rPr>
        <w:t>8-3</w:t>
      </w:r>
      <w:r>
        <w:rPr>
          <w:rStyle w:val="25"/>
          <w:rFonts w:hint="eastAsia" w:cs="仿宋"/>
        </w:rPr>
        <w:t>于洪区禁养区分布图</w:t>
      </w:r>
      <w:r>
        <w:tab/>
      </w:r>
      <w:r>
        <w:fldChar w:fldCharType="begin"/>
      </w:r>
      <w:r>
        <w:instrText xml:space="preserve"> PAGEREF _Toc90558570 \h </w:instrText>
      </w:r>
      <w:r>
        <w:fldChar w:fldCharType="separate"/>
      </w:r>
      <w:r>
        <w:t>85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"_Toc90558571" </w:instrText>
      </w:r>
      <w:r>
        <w:fldChar w:fldCharType="separate"/>
      </w:r>
      <w:r>
        <w:rPr>
          <w:rStyle w:val="25"/>
          <w:rFonts w:hint="eastAsia" w:cs="仿宋"/>
        </w:rPr>
        <w:t>附图</w:t>
      </w:r>
      <w:r>
        <w:rPr>
          <w:rStyle w:val="25"/>
        </w:rPr>
        <w:t>8-4</w:t>
      </w:r>
      <w:r>
        <w:rPr>
          <w:rStyle w:val="25"/>
          <w:rFonts w:hint="eastAsia" w:cs="仿宋"/>
        </w:rPr>
        <w:t>铁西区禁养区分布图</w:t>
      </w:r>
      <w:r>
        <w:tab/>
      </w:r>
      <w:r>
        <w:fldChar w:fldCharType="begin"/>
      </w:r>
      <w:r>
        <w:instrText xml:space="preserve"> PAGEREF _Toc90558571 \h </w:instrText>
      </w:r>
      <w:r>
        <w:fldChar w:fldCharType="separate"/>
      </w:r>
      <w:r>
        <w:t>86</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"_Toc90558572" </w:instrText>
      </w:r>
      <w:r>
        <w:fldChar w:fldCharType="separate"/>
      </w:r>
      <w:r>
        <w:rPr>
          <w:rStyle w:val="25"/>
          <w:rFonts w:hint="eastAsia" w:cs="仿宋"/>
        </w:rPr>
        <w:t>附图</w:t>
      </w:r>
      <w:r>
        <w:rPr>
          <w:rStyle w:val="25"/>
        </w:rPr>
        <w:t>8-5</w:t>
      </w:r>
      <w:r>
        <w:rPr>
          <w:rStyle w:val="25"/>
          <w:rFonts w:hint="eastAsia" w:cs="仿宋"/>
        </w:rPr>
        <w:t>苏家屯区禁养区分布图</w:t>
      </w:r>
      <w:r>
        <w:tab/>
      </w:r>
      <w:r>
        <w:fldChar w:fldCharType="begin"/>
      </w:r>
      <w:r>
        <w:instrText xml:space="preserve"> PAGEREF _Toc90558572 \h </w:instrText>
      </w:r>
      <w:r>
        <w:fldChar w:fldCharType="separate"/>
      </w:r>
      <w:r>
        <w:t>87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"_Toc90558573" </w:instrText>
      </w:r>
      <w:r>
        <w:fldChar w:fldCharType="separate"/>
      </w:r>
      <w:r>
        <w:rPr>
          <w:rStyle w:val="25"/>
          <w:rFonts w:hint="eastAsia" w:cs="仿宋"/>
        </w:rPr>
        <w:t>附图</w:t>
      </w:r>
      <w:r>
        <w:rPr>
          <w:rStyle w:val="25"/>
        </w:rPr>
        <w:t>8-6</w:t>
      </w:r>
      <w:r>
        <w:rPr>
          <w:rStyle w:val="25"/>
          <w:rFonts w:hint="eastAsia" w:cs="仿宋"/>
        </w:rPr>
        <w:t>辽中区禁养区分布图</w:t>
      </w:r>
      <w:r>
        <w:tab/>
      </w:r>
      <w:r>
        <w:fldChar w:fldCharType="begin"/>
      </w:r>
      <w:r>
        <w:instrText xml:space="preserve"> PAGEREF _Toc90558573 \h </w:instrText>
      </w:r>
      <w:r>
        <w:fldChar w:fldCharType="separate"/>
      </w:r>
      <w:r>
        <w:t>88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"_Toc90558574" </w:instrText>
      </w:r>
      <w:r>
        <w:fldChar w:fldCharType="separate"/>
      </w:r>
      <w:r>
        <w:rPr>
          <w:rStyle w:val="25"/>
          <w:rFonts w:hint="eastAsia" w:cs="仿宋"/>
        </w:rPr>
        <w:t>附图</w:t>
      </w:r>
      <w:r>
        <w:rPr>
          <w:rStyle w:val="25"/>
        </w:rPr>
        <w:t>8-7</w:t>
      </w:r>
      <w:r>
        <w:rPr>
          <w:rStyle w:val="25"/>
          <w:rFonts w:hint="eastAsia" w:cs="仿宋"/>
        </w:rPr>
        <w:t>新民市禁养区分布图</w:t>
      </w:r>
      <w:r>
        <w:tab/>
      </w:r>
      <w:r>
        <w:fldChar w:fldCharType="begin"/>
      </w:r>
      <w:r>
        <w:instrText xml:space="preserve"> PAGEREF _Toc90558574 \h </w:instrText>
      </w:r>
      <w:r>
        <w:fldChar w:fldCharType="separate"/>
      </w:r>
      <w:r>
        <w:t>89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"_Toc90558575" </w:instrText>
      </w:r>
      <w:r>
        <w:fldChar w:fldCharType="separate"/>
      </w:r>
      <w:r>
        <w:rPr>
          <w:rStyle w:val="25"/>
          <w:rFonts w:hint="eastAsia" w:cs="仿宋"/>
        </w:rPr>
        <w:t>附图</w:t>
      </w:r>
      <w:r>
        <w:rPr>
          <w:rStyle w:val="25"/>
        </w:rPr>
        <w:t>8-8</w:t>
      </w:r>
      <w:r>
        <w:rPr>
          <w:rStyle w:val="25"/>
          <w:rFonts w:hint="eastAsia" w:cs="仿宋"/>
        </w:rPr>
        <w:t>康平县禁养区分布图</w:t>
      </w:r>
      <w:r>
        <w:tab/>
      </w:r>
      <w:r>
        <w:fldChar w:fldCharType="begin"/>
      </w:r>
      <w:r>
        <w:instrText xml:space="preserve"> PAGEREF _Toc90558575 \h </w:instrText>
      </w:r>
      <w:r>
        <w:fldChar w:fldCharType="separate"/>
      </w:r>
      <w:r>
        <w:t>90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"_Toc90558576" </w:instrText>
      </w:r>
      <w:r>
        <w:fldChar w:fldCharType="separate"/>
      </w:r>
      <w:r>
        <w:rPr>
          <w:rStyle w:val="25"/>
          <w:rFonts w:hint="eastAsia" w:cs="仿宋"/>
        </w:rPr>
        <w:t>附图</w:t>
      </w:r>
      <w:r>
        <w:rPr>
          <w:rStyle w:val="25"/>
        </w:rPr>
        <w:t>8-9</w:t>
      </w:r>
      <w:r>
        <w:rPr>
          <w:rStyle w:val="25"/>
          <w:rFonts w:hint="eastAsia" w:cs="仿宋"/>
        </w:rPr>
        <w:t>法库县禁养区分布图</w:t>
      </w:r>
      <w:r>
        <w:tab/>
      </w:r>
      <w:r>
        <w:fldChar w:fldCharType="begin"/>
      </w:r>
      <w:r>
        <w:instrText xml:space="preserve"> PAGEREF _Toc90558576 \h </w:instrText>
      </w:r>
      <w:r>
        <w:fldChar w:fldCharType="separate"/>
      </w:r>
      <w:r>
        <w:t>91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"_Toc90558577" </w:instrText>
      </w:r>
      <w:r>
        <w:fldChar w:fldCharType="separate"/>
      </w:r>
      <w:r>
        <w:rPr>
          <w:rStyle w:val="25"/>
          <w:rFonts w:hint="eastAsia" w:cs="仿宋"/>
        </w:rPr>
        <w:t>附图</w:t>
      </w:r>
      <w:r>
        <w:rPr>
          <w:rStyle w:val="25"/>
        </w:rPr>
        <w:t xml:space="preserve">9 </w:t>
      </w:r>
      <w:r>
        <w:rPr>
          <w:rStyle w:val="25"/>
          <w:rFonts w:hint="eastAsia" w:cs="仿宋"/>
        </w:rPr>
        <w:t>沈阳市农作物生产分区分布示意图</w:t>
      </w:r>
      <w:r>
        <w:tab/>
      </w:r>
      <w:r>
        <w:fldChar w:fldCharType="begin"/>
      </w:r>
      <w:r>
        <w:instrText xml:space="preserve"> PAGEREF _Toc90558577 \h </w:instrText>
      </w:r>
      <w:r>
        <w:fldChar w:fldCharType="separate"/>
      </w:r>
      <w:r>
        <w:t>92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"_Toc90558578" </w:instrText>
      </w:r>
      <w:r>
        <w:fldChar w:fldCharType="separate"/>
      </w:r>
      <w:r>
        <w:rPr>
          <w:rStyle w:val="25"/>
          <w:rFonts w:hint="eastAsia" w:cs="仿宋"/>
        </w:rPr>
        <w:t>附图</w:t>
      </w:r>
      <w:r>
        <w:rPr>
          <w:rStyle w:val="25"/>
        </w:rPr>
        <w:t xml:space="preserve">10 </w:t>
      </w:r>
      <w:r>
        <w:rPr>
          <w:rStyle w:val="25"/>
          <w:rFonts w:hint="eastAsia" w:cs="仿宋"/>
        </w:rPr>
        <w:t>沈阳市环境管控单元分布示意图</w:t>
      </w:r>
      <w:r>
        <w:tab/>
      </w:r>
      <w:r>
        <w:fldChar w:fldCharType="begin"/>
      </w:r>
      <w:r>
        <w:instrText xml:space="preserve"> PAGEREF _Toc90558578 \h </w:instrText>
      </w:r>
      <w:r>
        <w:fldChar w:fldCharType="separate"/>
      </w:r>
      <w:r>
        <w:t>93</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"_Toc90558579" </w:instrText>
      </w:r>
      <w:r>
        <w:fldChar w:fldCharType="separate"/>
      </w:r>
      <w:r>
        <w:rPr>
          <w:rStyle w:val="25"/>
          <w:rFonts w:hint="eastAsia" w:cs="仿宋"/>
        </w:rPr>
        <w:t>附图</w:t>
      </w:r>
      <w:r>
        <w:rPr>
          <w:rStyle w:val="25"/>
        </w:rPr>
        <w:t xml:space="preserve">11 </w:t>
      </w:r>
      <w:r>
        <w:rPr>
          <w:rStyle w:val="25"/>
          <w:rFonts w:hint="eastAsia" w:cs="仿宋"/>
        </w:rPr>
        <w:t>沈阳市畜禽粪污转运及集中处理中心建设布局图</w:t>
      </w:r>
      <w:r>
        <w:tab/>
      </w:r>
      <w:r>
        <w:fldChar w:fldCharType="begin"/>
      </w:r>
      <w:r>
        <w:instrText xml:space="preserve"> PAGEREF _Toc90558579 \h </w:instrText>
      </w:r>
      <w:r>
        <w:fldChar w:fldCharType="separate"/>
      </w:r>
      <w:r>
        <w:t>94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"_Toc90558580" </w:instrText>
      </w:r>
      <w:r>
        <w:fldChar w:fldCharType="separate"/>
      </w:r>
      <w:r>
        <w:rPr>
          <w:rStyle w:val="25"/>
          <w:rFonts w:hint="eastAsia" w:cs="仿宋"/>
        </w:rPr>
        <w:t>附图</w:t>
      </w:r>
      <w:r>
        <w:rPr>
          <w:rStyle w:val="25"/>
        </w:rPr>
        <w:t>11-1</w:t>
      </w:r>
      <w:r>
        <w:rPr>
          <w:rStyle w:val="25"/>
          <w:rFonts w:hint="eastAsia" w:cs="仿宋"/>
        </w:rPr>
        <w:t>沈北新区畜禽粪污转运及集中处理中心建设布局图</w:t>
      </w:r>
      <w:r>
        <w:tab/>
      </w:r>
      <w:r>
        <w:fldChar w:fldCharType="begin"/>
      </w:r>
      <w:r>
        <w:instrText xml:space="preserve"> PAGEREF _Toc90558580 \h </w:instrText>
      </w:r>
      <w:r>
        <w:fldChar w:fldCharType="separate"/>
      </w:r>
      <w:r>
        <w:t>95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"_Toc90558581" </w:instrText>
      </w:r>
      <w:r>
        <w:fldChar w:fldCharType="separate"/>
      </w:r>
      <w:r>
        <w:rPr>
          <w:rStyle w:val="25"/>
          <w:rFonts w:hint="eastAsia" w:cs="仿宋"/>
        </w:rPr>
        <w:t>附图</w:t>
      </w:r>
      <w:r>
        <w:rPr>
          <w:rStyle w:val="25"/>
        </w:rPr>
        <w:t>11-2</w:t>
      </w:r>
      <w:r>
        <w:rPr>
          <w:rStyle w:val="25"/>
          <w:rFonts w:hint="eastAsia" w:cs="仿宋"/>
        </w:rPr>
        <w:t>辽中区畜禽粪污转运及集中处理中心建设布局图</w:t>
      </w:r>
      <w:r>
        <w:tab/>
      </w:r>
      <w:r>
        <w:fldChar w:fldCharType="begin"/>
      </w:r>
      <w:r>
        <w:instrText xml:space="preserve"> PAGEREF _Toc90558581 \h </w:instrText>
      </w:r>
      <w:r>
        <w:fldChar w:fldCharType="separate"/>
      </w:r>
      <w:r>
        <w:t>96</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"_Toc90558582" </w:instrText>
      </w:r>
      <w:r>
        <w:fldChar w:fldCharType="separate"/>
      </w:r>
      <w:r>
        <w:rPr>
          <w:rStyle w:val="25"/>
          <w:rFonts w:hint="eastAsia" w:cs="仿宋"/>
        </w:rPr>
        <w:t>附图</w:t>
      </w:r>
      <w:r>
        <w:rPr>
          <w:rStyle w:val="25"/>
        </w:rPr>
        <w:t>11-3</w:t>
      </w:r>
      <w:r>
        <w:rPr>
          <w:rStyle w:val="25"/>
          <w:rFonts w:hint="eastAsia" w:cs="仿宋"/>
        </w:rPr>
        <w:t>新民市畜禽粪污转运及集中处理中心建设布局图</w:t>
      </w:r>
      <w:r>
        <w:tab/>
      </w:r>
      <w:r>
        <w:fldChar w:fldCharType="begin"/>
      </w:r>
      <w:r>
        <w:instrText xml:space="preserve"> PAGEREF _Toc90558582 \h </w:instrText>
      </w:r>
      <w:r>
        <w:fldChar w:fldCharType="separate"/>
      </w:r>
      <w:r>
        <w:t>97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"_Toc90558583" </w:instrText>
      </w:r>
      <w:r>
        <w:fldChar w:fldCharType="separate"/>
      </w:r>
      <w:r>
        <w:rPr>
          <w:rStyle w:val="25"/>
          <w:rFonts w:hint="eastAsia" w:cs="仿宋"/>
        </w:rPr>
        <w:t>附图</w:t>
      </w:r>
      <w:r>
        <w:rPr>
          <w:rStyle w:val="25"/>
        </w:rPr>
        <w:t>11-4</w:t>
      </w:r>
      <w:r>
        <w:rPr>
          <w:rStyle w:val="25"/>
          <w:rFonts w:hint="eastAsia" w:cs="仿宋"/>
        </w:rPr>
        <w:t>康平县畜禽粪污转运及集中处理中心建设布局图</w:t>
      </w:r>
      <w:r>
        <w:tab/>
      </w:r>
      <w:r>
        <w:fldChar w:fldCharType="begin"/>
      </w:r>
      <w:r>
        <w:instrText xml:space="preserve"> PAGEREF _Toc90558583 \h </w:instrText>
      </w:r>
      <w:r>
        <w:fldChar w:fldCharType="separate"/>
      </w:r>
      <w:r>
        <w:t>98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"_Toc90558584" </w:instrText>
      </w:r>
      <w:r>
        <w:fldChar w:fldCharType="separate"/>
      </w:r>
      <w:r>
        <w:rPr>
          <w:rStyle w:val="25"/>
          <w:rFonts w:hint="eastAsia" w:cs="仿宋"/>
        </w:rPr>
        <w:t>附图</w:t>
      </w:r>
      <w:r>
        <w:rPr>
          <w:rStyle w:val="25"/>
        </w:rPr>
        <w:t>11-5</w:t>
      </w:r>
      <w:r>
        <w:rPr>
          <w:rStyle w:val="25"/>
          <w:rFonts w:hint="eastAsia" w:cs="仿宋"/>
        </w:rPr>
        <w:t>法库县畜禽粪污转运及集中处理中心建设布局图</w:t>
      </w:r>
      <w:r>
        <w:tab/>
      </w:r>
      <w:r>
        <w:fldChar w:fldCharType="begin"/>
      </w:r>
      <w:r>
        <w:instrText xml:space="preserve"> PAGEREF _Toc90558584 \h </w:instrText>
      </w:r>
      <w:r>
        <w:fldChar w:fldCharType="separate"/>
      </w:r>
      <w:r>
        <w:t>99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"_Toc90558585" </w:instrText>
      </w:r>
      <w:r>
        <w:fldChar w:fldCharType="separate"/>
      </w:r>
      <w:r>
        <w:rPr>
          <w:rStyle w:val="25"/>
          <w:rFonts w:hint="eastAsia" w:cs="仿宋"/>
        </w:rPr>
        <w:t>附图</w:t>
      </w:r>
      <w:r>
        <w:rPr>
          <w:rStyle w:val="25"/>
        </w:rPr>
        <w:t xml:space="preserve">12 </w:t>
      </w:r>
      <w:r>
        <w:rPr>
          <w:rStyle w:val="25"/>
          <w:rFonts w:hint="eastAsia" w:cs="仿宋"/>
        </w:rPr>
        <w:t>种养结合粪污定向消纳空间布局图</w:t>
      </w:r>
      <w:r>
        <w:tab/>
      </w:r>
      <w:r>
        <w:fldChar w:fldCharType="begin"/>
      </w:r>
      <w:r>
        <w:instrText xml:space="preserve"> PAGEREF _Toc90558585 \h </w:instrText>
      </w:r>
      <w:r>
        <w:fldChar w:fldCharType="separate"/>
      </w:r>
      <w:r>
        <w:t>100</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"_Toc90558586" </w:instrText>
      </w:r>
      <w:r>
        <w:fldChar w:fldCharType="separate"/>
      </w:r>
      <w:r>
        <w:rPr>
          <w:rStyle w:val="25"/>
          <w:rFonts w:hint="eastAsia" w:cs="仿宋"/>
        </w:rPr>
        <w:t>附图</w:t>
      </w:r>
      <w:r>
        <w:rPr>
          <w:rStyle w:val="25"/>
        </w:rPr>
        <w:t>12-1</w:t>
      </w:r>
      <w:r>
        <w:rPr>
          <w:rStyle w:val="25"/>
          <w:rFonts w:hint="eastAsia" w:cs="仿宋"/>
        </w:rPr>
        <w:t>浑南区种养结合粪污定向消纳空间布局图</w:t>
      </w:r>
      <w:r>
        <w:tab/>
      </w:r>
      <w:r>
        <w:fldChar w:fldCharType="begin"/>
      </w:r>
      <w:r>
        <w:instrText xml:space="preserve"> PAGEREF _Toc90558586 \h </w:instrText>
      </w:r>
      <w:r>
        <w:fldChar w:fldCharType="separate"/>
      </w:r>
      <w:r>
        <w:t>101</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"_Toc90558587" </w:instrText>
      </w:r>
      <w:r>
        <w:fldChar w:fldCharType="separate"/>
      </w:r>
      <w:r>
        <w:rPr>
          <w:rStyle w:val="25"/>
          <w:rFonts w:hint="eastAsia" w:cs="仿宋"/>
        </w:rPr>
        <w:t>附图</w:t>
      </w:r>
      <w:r>
        <w:rPr>
          <w:rStyle w:val="25"/>
        </w:rPr>
        <w:t>12-2</w:t>
      </w:r>
      <w:r>
        <w:rPr>
          <w:rStyle w:val="25"/>
          <w:rFonts w:hint="eastAsia" w:cs="仿宋"/>
        </w:rPr>
        <w:t>沈北新区种养结合粪污定向消纳空间布局图</w:t>
      </w:r>
      <w:r>
        <w:tab/>
      </w:r>
      <w:r>
        <w:fldChar w:fldCharType="begin"/>
      </w:r>
      <w:r>
        <w:instrText xml:space="preserve"> PAGEREF _Toc90558587 \h </w:instrText>
      </w:r>
      <w:r>
        <w:fldChar w:fldCharType="separate"/>
      </w:r>
      <w:r>
        <w:t>102</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"_Toc90558588" </w:instrText>
      </w:r>
      <w:r>
        <w:fldChar w:fldCharType="separate"/>
      </w:r>
      <w:r>
        <w:rPr>
          <w:rStyle w:val="25"/>
          <w:rFonts w:hint="eastAsia" w:cs="仿宋"/>
        </w:rPr>
        <w:t>附图</w:t>
      </w:r>
      <w:r>
        <w:rPr>
          <w:rStyle w:val="25"/>
        </w:rPr>
        <w:t>12-3</w:t>
      </w:r>
      <w:r>
        <w:rPr>
          <w:rStyle w:val="25"/>
          <w:rFonts w:hint="eastAsia" w:cs="仿宋"/>
        </w:rPr>
        <w:t>于洪区种养结合粪污定向消纳空间布局图</w:t>
      </w:r>
      <w:r>
        <w:tab/>
      </w:r>
      <w:r>
        <w:fldChar w:fldCharType="begin"/>
      </w:r>
      <w:r>
        <w:instrText xml:space="preserve"> PAGEREF _Toc90558588 \h </w:instrText>
      </w:r>
      <w:r>
        <w:fldChar w:fldCharType="separate"/>
      </w:r>
      <w:r>
        <w:t>103</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"_Toc90558589" </w:instrText>
      </w:r>
      <w:r>
        <w:fldChar w:fldCharType="separate"/>
      </w:r>
      <w:r>
        <w:rPr>
          <w:rStyle w:val="25"/>
          <w:rFonts w:hint="eastAsia" w:cs="仿宋"/>
        </w:rPr>
        <w:t>附图</w:t>
      </w:r>
      <w:r>
        <w:rPr>
          <w:rStyle w:val="25"/>
        </w:rPr>
        <w:t>12-4</w:t>
      </w:r>
      <w:r>
        <w:rPr>
          <w:rStyle w:val="25"/>
          <w:rFonts w:hint="eastAsia" w:cs="仿宋"/>
        </w:rPr>
        <w:t>铁西区种养结合粪污定向消纳空间布局图</w:t>
      </w:r>
      <w:r>
        <w:tab/>
      </w:r>
      <w:r>
        <w:fldChar w:fldCharType="begin"/>
      </w:r>
      <w:r>
        <w:instrText xml:space="preserve"> PAGEREF _Toc90558589 \h </w:instrText>
      </w:r>
      <w:r>
        <w:fldChar w:fldCharType="separate"/>
      </w:r>
      <w:r>
        <w:t>104</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"_Toc90558590" </w:instrText>
      </w:r>
      <w:r>
        <w:fldChar w:fldCharType="separate"/>
      </w:r>
      <w:r>
        <w:rPr>
          <w:rStyle w:val="25"/>
          <w:rFonts w:hint="eastAsia" w:cs="仿宋"/>
        </w:rPr>
        <w:t>附图</w:t>
      </w:r>
      <w:r>
        <w:rPr>
          <w:rStyle w:val="25"/>
        </w:rPr>
        <w:t>12-5</w:t>
      </w:r>
      <w:r>
        <w:rPr>
          <w:rStyle w:val="25"/>
          <w:rFonts w:hint="eastAsia" w:cs="仿宋"/>
        </w:rPr>
        <w:t>苏家屯区种养结合粪污定向消纳空间布局图</w:t>
      </w:r>
      <w:r>
        <w:tab/>
      </w:r>
      <w:r>
        <w:fldChar w:fldCharType="begin"/>
      </w:r>
      <w:r>
        <w:instrText xml:space="preserve"> PAGEREF _Toc90558590 \h </w:instrText>
      </w:r>
      <w:r>
        <w:fldChar w:fldCharType="separate"/>
      </w:r>
      <w:r>
        <w:t>105</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"_Toc90558591" </w:instrText>
      </w:r>
      <w:r>
        <w:fldChar w:fldCharType="separate"/>
      </w:r>
      <w:r>
        <w:rPr>
          <w:rStyle w:val="25"/>
          <w:rFonts w:hint="eastAsia" w:cs="仿宋"/>
        </w:rPr>
        <w:t>附图</w:t>
      </w:r>
      <w:r>
        <w:rPr>
          <w:rStyle w:val="25"/>
        </w:rPr>
        <w:t>12-6</w:t>
      </w:r>
      <w:r>
        <w:rPr>
          <w:rStyle w:val="25"/>
          <w:rFonts w:hint="eastAsia" w:cs="仿宋"/>
        </w:rPr>
        <w:t>辽中区种养结合粪污定向消纳空间布局图</w:t>
      </w:r>
      <w:r>
        <w:tab/>
      </w:r>
      <w:r>
        <w:fldChar w:fldCharType="begin"/>
      </w:r>
      <w:r>
        <w:instrText xml:space="preserve"> PAGEREF _Toc90558591 \h </w:instrText>
      </w:r>
      <w:r>
        <w:fldChar w:fldCharType="separate"/>
      </w:r>
      <w:r>
        <w:t>106</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"_Toc90558592" </w:instrText>
      </w:r>
      <w:r>
        <w:fldChar w:fldCharType="separate"/>
      </w:r>
      <w:r>
        <w:rPr>
          <w:rStyle w:val="25"/>
          <w:rFonts w:hint="eastAsia" w:cs="仿宋"/>
        </w:rPr>
        <w:t>附图</w:t>
      </w:r>
      <w:r>
        <w:rPr>
          <w:rStyle w:val="25"/>
        </w:rPr>
        <w:t>12-7</w:t>
      </w:r>
      <w:r>
        <w:rPr>
          <w:rStyle w:val="25"/>
          <w:rFonts w:hint="eastAsia" w:cs="仿宋"/>
        </w:rPr>
        <w:t>新民市种养结合粪污定向消纳空间布局图</w:t>
      </w:r>
      <w:r>
        <w:tab/>
      </w:r>
      <w:r>
        <w:fldChar w:fldCharType="begin"/>
      </w:r>
      <w:r>
        <w:instrText xml:space="preserve"> PAGEREF _Toc90558592 \h </w:instrText>
      </w:r>
      <w:r>
        <w:fldChar w:fldCharType="separate"/>
      </w:r>
      <w:r>
        <w:t>107</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"_Toc90558593" </w:instrText>
      </w:r>
      <w:r>
        <w:fldChar w:fldCharType="separate"/>
      </w:r>
      <w:r>
        <w:rPr>
          <w:rStyle w:val="25"/>
          <w:rFonts w:hint="eastAsia" w:cs="仿宋"/>
        </w:rPr>
        <w:t>附图</w:t>
      </w:r>
      <w:r>
        <w:rPr>
          <w:rStyle w:val="25"/>
        </w:rPr>
        <w:t>12-8</w:t>
      </w:r>
      <w:r>
        <w:rPr>
          <w:rStyle w:val="25"/>
          <w:rFonts w:hint="eastAsia" w:cs="仿宋"/>
        </w:rPr>
        <w:t>康平县种养结合粪污定向消纳空间布局图</w:t>
      </w:r>
      <w:r>
        <w:tab/>
      </w:r>
      <w:r>
        <w:fldChar w:fldCharType="begin"/>
      </w:r>
      <w:r>
        <w:instrText xml:space="preserve"> PAGEREF _Toc90558593 \h </w:instrText>
      </w:r>
      <w:r>
        <w:fldChar w:fldCharType="separate"/>
      </w:r>
      <w:r>
        <w:t>108</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"_Toc90558594" </w:instrText>
      </w:r>
      <w:r>
        <w:fldChar w:fldCharType="separate"/>
      </w:r>
      <w:r>
        <w:rPr>
          <w:rStyle w:val="25"/>
          <w:rFonts w:hint="eastAsia" w:cs="仿宋"/>
        </w:rPr>
        <w:t>附图</w:t>
      </w:r>
      <w:r>
        <w:rPr>
          <w:rStyle w:val="25"/>
        </w:rPr>
        <w:t>12-9</w:t>
      </w:r>
      <w:r>
        <w:rPr>
          <w:rStyle w:val="25"/>
          <w:rFonts w:hint="eastAsia" w:cs="仿宋"/>
        </w:rPr>
        <w:t>法库县种养结合粪污定向消纳空间布局图</w:t>
      </w:r>
      <w:r>
        <w:tab/>
      </w:r>
      <w:r>
        <w:fldChar w:fldCharType="begin"/>
      </w:r>
      <w:r>
        <w:instrText xml:space="preserve"> PAGEREF _Toc90558594 \h </w:instrText>
      </w:r>
      <w:r>
        <w:fldChar w:fldCharType="separate"/>
      </w:r>
      <w:r>
        <w:t>109</w:t>
      </w:r>
      <w:r>
        <w:fldChar w:fldCharType="end"/>
      </w:r>
      <w:r>
        <w:fldChar w:fldCharType="end"/>
      </w:r>
    </w:p>
    <w:p>
      <w:pPr>
        <w:pStyle w:val="17"/>
        <w:tabs>
          <w:tab w:val="right" w:leader="dot" w:pos="8296"/>
        </w:tabs>
        <w:ind w:left="31680" w:firstLine="31680"/>
        <w:rPr>
          <w:rFonts w:ascii="等线" w:hAnsi="等线" w:eastAsia="等线"/>
          <w:sz w:val="21"/>
          <w:szCs w:val="21"/>
        </w:rPr>
      </w:pPr>
      <w:r>
        <w:fldChar w:fldCharType="begin"/>
      </w:r>
      <w:r>
        <w:instrText xml:space="preserve"> HYPERLINK \l "_Toc90558595" </w:instrText>
      </w:r>
      <w:r>
        <w:fldChar w:fldCharType="separate"/>
      </w:r>
      <w:r>
        <w:rPr>
          <w:rStyle w:val="25"/>
          <w:rFonts w:hint="eastAsia" w:cs="仿宋"/>
        </w:rPr>
        <w:t>附图</w:t>
      </w:r>
      <w:r>
        <w:rPr>
          <w:rStyle w:val="25"/>
        </w:rPr>
        <w:t xml:space="preserve">13 </w:t>
      </w:r>
      <w:r>
        <w:rPr>
          <w:rStyle w:val="25"/>
          <w:rFonts w:hint="eastAsia" w:cs="仿宋"/>
        </w:rPr>
        <w:t>粪肥还田利用田间配套设施建设布局图</w:t>
      </w:r>
      <w:r>
        <w:tab/>
      </w:r>
      <w:r>
        <w:fldChar w:fldCharType="begin"/>
      </w:r>
      <w:r>
        <w:instrText xml:space="preserve"> PAGEREF _Toc90558595 \h </w:instrText>
      </w:r>
      <w:r>
        <w:fldChar w:fldCharType="separate"/>
      </w:r>
      <w:r>
        <w:t>110</w:t>
      </w:r>
      <w:r>
        <w:fldChar w:fldCharType="end"/>
      </w:r>
      <w:r>
        <w:fldChar w:fldCharType="end"/>
      </w:r>
    </w:p>
    <w:p>
      <w:pPr>
        <w:widowControl/>
        <w:ind w:firstLine="31680"/>
        <w:jc w:val="left"/>
        <w:rPr>
          <w:sz w:val="32"/>
          <w:szCs w:val="32"/>
        </w:rPr>
        <w:sectPr>
          <w:type w:val="continuous"/>
          <w:pgSz w:w="11906" w:h="16838"/>
          <w:pgMar w:top="1440" w:right="1800" w:bottom="1440" w:left="1800" w:header="851" w:footer="992" w:gutter="0"/>
          <w:pgNumType w:fmt="lowerRoman" w:start="1"/>
          <w:cols w:space="425" w:num="1"/>
          <w:docGrid w:type="lines" w:linePitch="312" w:charSpace="0"/>
        </w:sectPr>
      </w:pPr>
      <w:r>
        <w:rPr>
          <w:sz w:val="32"/>
          <w:szCs w:val="32"/>
        </w:rPr>
        <w:fldChar w:fldCharType="end"/>
      </w:r>
      <w:r>
        <w:rPr>
          <w:sz w:val="32"/>
          <w:szCs w:val="32"/>
        </w:rPr>
        <w:br w:type="page"/>
      </w:r>
    </w:p>
    <w:p>
      <w:pPr>
        <w:pStyle w:val="2"/>
      </w:pPr>
      <w:bookmarkStart w:id="2" w:name="_Toc90558523"/>
      <w:r>
        <w:t>1</w:t>
      </w:r>
      <w:r>
        <w:rPr>
          <w:rFonts w:hint="eastAsia" w:cs="仿宋"/>
        </w:rPr>
        <w:t>、总则</w:t>
      </w:r>
      <w:bookmarkEnd w:id="2"/>
    </w:p>
    <w:p>
      <w:pPr>
        <w:pStyle w:val="3"/>
      </w:pPr>
      <w:bookmarkStart w:id="3" w:name="_Toc90558524"/>
      <w:r>
        <w:t>1.1</w:t>
      </w:r>
      <w:r>
        <w:rPr>
          <w:rFonts w:hint="eastAsia" w:cs="仿宋"/>
        </w:rPr>
        <w:t>背景</w:t>
      </w:r>
      <w:bookmarkEnd w:id="3"/>
    </w:p>
    <w:p>
      <w:pPr>
        <w:ind w:firstLine="31680"/>
      </w:pPr>
      <w:bookmarkStart w:id="4" w:name="_Hlk76643890"/>
      <w:bookmarkStart w:id="5" w:name="_Hlk76643928"/>
      <w:r>
        <w:rPr>
          <w:rFonts w:hint="eastAsia" w:cs="仿宋"/>
        </w:rPr>
        <w:t>为了防治畜禽养殖污染，推进畜禽养殖废弃物的综合利用和无害化处理，保护和改善环境，保障公众身体健康，促进畜牧业持续健康发展，在</w:t>
      </w:r>
      <w:r>
        <w:t>2014</w:t>
      </w:r>
      <w:r>
        <w:rPr>
          <w:rFonts w:hint="eastAsia" w:cs="仿宋"/>
        </w:rPr>
        <w:t>年</w:t>
      </w:r>
      <w:r>
        <w:t>1</w:t>
      </w:r>
      <w:r>
        <w:rPr>
          <w:rFonts w:hint="eastAsia" w:cs="仿宋"/>
        </w:rPr>
        <w:t>月</w:t>
      </w:r>
      <w:r>
        <w:t>1</w:t>
      </w:r>
      <w:r>
        <w:rPr>
          <w:rFonts w:hint="eastAsia" w:cs="仿宋"/>
        </w:rPr>
        <w:t>日中华人民共和国国务院令第</w:t>
      </w:r>
      <w:r>
        <w:t>643</w:t>
      </w:r>
      <w:r>
        <w:rPr>
          <w:rFonts w:hint="eastAsia" w:cs="仿宋"/>
        </w:rPr>
        <w:t>号《畜禽规模养殖污染防治条例》开始实施，规定了畜禽养殖场、养殖小区的养殖污染防治要求。随后</w:t>
      </w:r>
      <w:r>
        <w:t>2015</w:t>
      </w:r>
      <w:r>
        <w:rPr>
          <w:rFonts w:hint="eastAsia" w:cs="仿宋"/>
        </w:rPr>
        <w:t>年</w:t>
      </w:r>
      <w:r>
        <w:t>1</w:t>
      </w:r>
      <w:r>
        <w:rPr>
          <w:rFonts w:hint="eastAsia" w:cs="仿宋"/>
        </w:rPr>
        <w:t>月</w:t>
      </w:r>
      <w:r>
        <w:t>1</w:t>
      </w:r>
      <w:r>
        <w:rPr>
          <w:rFonts w:hint="eastAsia" w:cs="仿宋"/>
        </w:rPr>
        <w:t>日新《环境保护法》开始实施，要求推动农村环境综合整治，畜禽养殖场、养殖小区选址合理，对畜禽粪便、尸体和污水等废弃物进行科学处置，防止污染环境。</w:t>
      </w:r>
      <w:r>
        <w:t>2017</w:t>
      </w:r>
      <w:r>
        <w:rPr>
          <w:rFonts w:hint="eastAsia" w:cs="仿宋"/>
        </w:rPr>
        <w:t>年以来相继出台《国务院办公厅</w:t>
      </w:r>
      <w:r>
        <w:t xml:space="preserve"> </w:t>
      </w:r>
      <w:r>
        <w:rPr>
          <w:rFonts w:hint="eastAsia" w:cs="仿宋"/>
        </w:rPr>
        <w:t>关于加快推进畜禽养殖废弃物资源化利用的意见》《农业农村部办公厅</w:t>
      </w:r>
      <w:r>
        <w:t xml:space="preserve"> </w:t>
      </w:r>
      <w:r>
        <w:rPr>
          <w:rFonts w:hint="eastAsia" w:cs="仿宋"/>
        </w:rPr>
        <w:t>生态环境部办公厅关于促进畜禽粪污还田利用依法加强养殖污染治理的指导意见》《农业农村部办公厅</w:t>
      </w:r>
      <w:r>
        <w:t xml:space="preserve"> </w:t>
      </w:r>
      <w:r>
        <w:rPr>
          <w:rFonts w:hint="eastAsia" w:cs="仿宋"/>
        </w:rPr>
        <w:t>生态环境部办公厅</w:t>
      </w:r>
      <w:r>
        <w:t xml:space="preserve"> </w:t>
      </w:r>
      <w:r>
        <w:rPr>
          <w:rFonts w:hint="eastAsia" w:cs="仿宋"/>
        </w:rPr>
        <w:t>进一步明确畜禽粪污还田利用要求强化养殖污染监管的通知》等意见，推进全国畜禽养殖污染防治及粪污资源化工作。</w:t>
      </w:r>
    </w:p>
    <w:p>
      <w:pPr>
        <w:ind w:firstLine="31680"/>
      </w:pPr>
      <w:r>
        <w:t>2017</w:t>
      </w:r>
      <w:r>
        <w:rPr>
          <w:rFonts w:hint="eastAsia" w:cs="仿宋"/>
        </w:rPr>
        <w:t>年，辽宁省人民政府印发了《辽宁省畜禽养殖废弃物资源化利用工作方案（</w:t>
      </w:r>
      <w:r>
        <w:t>2017-2020</w:t>
      </w:r>
      <w:r>
        <w:rPr>
          <w:rFonts w:hint="eastAsia" w:cs="仿宋"/>
        </w:rPr>
        <w:t>年）》（辽政办发〔</w:t>
      </w:r>
      <w:r>
        <w:t>2017</w:t>
      </w:r>
      <w:r>
        <w:rPr>
          <w:rFonts w:hint="eastAsia" w:cs="仿宋"/>
        </w:rPr>
        <w:t>〕</w:t>
      </w:r>
      <w:r>
        <w:t>92</w:t>
      </w:r>
      <w:r>
        <w:rPr>
          <w:rFonts w:hint="eastAsia" w:cs="仿宋"/>
        </w:rPr>
        <w:t>号），要求坚持政府支持、企业主体、市场化运作的方针，坚持源头减量、过程控制、末端利用的治理路径，以畜牧大县和规模养殖场为重点，以建设粪污无害化处理设施为主要处理方式，以农用有机肥为主要利用方向，健全制度体系，强化责任落实，完善扶持政策，依法严格监管，加强科技支撑，强化装备保障，全面推进畜禽养殖废弃物资源化利用，加快构建种养结合、农牧循环的可持续发展新格局。</w:t>
      </w:r>
    </w:p>
    <w:p>
      <w:pPr>
        <w:ind w:firstLine="31680"/>
      </w:pPr>
      <w:r>
        <w:t>2021</w:t>
      </w:r>
      <w:r>
        <w:rPr>
          <w:rFonts w:hint="eastAsia" w:cs="仿宋"/>
        </w:rPr>
        <w:t>年</w:t>
      </w:r>
      <w:r>
        <w:t>3</w:t>
      </w:r>
      <w:r>
        <w:rPr>
          <w:rFonts w:hint="eastAsia" w:cs="仿宋"/>
        </w:rPr>
        <w:t>月，辽宁省生态环境厅、辽宁省农业农村厅发布《关于强化畜禽养殖污染防治监管工作的通知》（辽环综函〔</w:t>
      </w:r>
      <w:r>
        <w:t>2021</w:t>
      </w:r>
      <w:r>
        <w:rPr>
          <w:rFonts w:hint="eastAsia" w:cs="仿宋"/>
        </w:rPr>
        <w:t>〕</w:t>
      </w:r>
      <w:r>
        <w:t>201</w:t>
      </w:r>
      <w:r>
        <w:rPr>
          <w:rFonts w:hint="eastAsia" w:cs="仿宋"/>
        </w:rPr>
        <w:t>号）要求各市结合区域实际情况及乡村振兴和深入打好农业农村污染防治攻坚战工作需要，编制畜禽养殖污染防治规划。</w:t>
      </w:r>
    </w:p>
    <w:p>
      <w:pPr>
        <w:ind w:firstLine="31680"/>
      </w:pPr>
      <w:r>
        <w:rPr>
          <w:rFonts w:hint="eastAsia" w:cs="仿宋"/>
        </w:rPr>
        <w:t>沈阳市深入贯彻与落实国家及地方政策要求，为加强畜禽养殖污染防治，推进农业面源污染治理、提升耕地质量，加快形成以粪肥还田利用为纽带的种养结合循环发展新格局，依据生态环境部、农业农村部《畜禽养殖污染防治规划编制指南（试行）》（环办土壤函</w:t>
      </w:r>
      <w:r>
        <w:t>[2021]465</w:t>
      </w:r>
      <w:r>
        <w:rPr>
          <w:rFonts w:hint="eastAsia" w:cs="仿宋"/>
        </w:rPr>
        <w:t>号）要求，编制《沈阳市畜禽养殖污染防治规划（</w:t>
      </w:r>
      <w:r>
        <w:t>2021-2025</w:t>
      </w:r>
      <w:r>
        <w:rPr>
          <w:rFonts w:hint="eastAsia" w:cs="仿宋"/>
        </w:rPr>
        <w:t>）》。</w:t>
      </w:r>
      <w:bookmarkEnd w:id="4"/>
    </w:p>
    <w:p>
      <w:pPr>
        <w:pStyle w:val="3"/>
      </w:pPr>
      <w:bookmarkStart w:id="6" w:name="_Toc90558525"/>
      <w:r>
        <w:t>1.2</w:t>
      </w:r>
      <w:r>
        <w:rPr>
          <w:rFonts w:hint="eastAsia" w:cs="仿宋"/>
        </w:rPr>
        <w:t>编制依据</w:t>
      </w:r>
      <w:bookmarkEnd w:id="6"/>
    </w:p>
    <w:p>
      <w:pPr>
        <w:ind w:firstLine="31680"/>
      </w:pPr>
      <w:r>
        <w:t>1.</w:t>
      </w:r>
      <w:r>
        <w:rPr>
          <w:rFonts w:hint="eastAsia" w:cs="仿宋"/>
        </w:rPr>
        <w:t>法律法规</w:t>
      </w:r>
    </w:p>
    <w:p>
      <w:pPr>
        <w:ind w:firstLine="31680"/>
      </w:pPr>
      <w:r>
        <w:rPr>
          <w:rFonts w:hint="eastAsia" w:cs="仿宋"/>
        </w:rPr>
        <w:t>《中华人民共和国环境保护法》</w:t>
      </w:r>
    </w:p>
    <w:p>
      <w:pPr>
        <w:ind w:firstLine="31680"/>
      </w:pPr>
      <w:r>
        <w:rPr>
          <w:rFonts w:hint="eastAsia" w:cs="仿宋"/>
        </w:rPr>
        <w:t>《中华人民共和国水污染防治法》</w:t>
      </w:r>
    </w:p>
    <w:p>
      <w:pPr>
        <w:ind w:firstLine="31680"/>
      </w:pPr>
      <w:r>
        <w:rPr>
          <w:rFonts w:hint="eastAsia" w:cs="仿宋"/>
        </w:rPr>
        <w:t>《中华人民共和国土壤污染防治法》</w:t>
      </w:r>
    </w:p>
    <w:p>
      <w:pPr>
        <w:ind w:firstLine="31680"/>
      </w:pPr>
      <w:r>
        <w:rPr>
          <w:rFonts w:hint="eastAsia" w:cs="仿宋"/>
        </w:rPr>
        <w:t>《中华人民共和国大气污染防治法》</w:t>
      </w:r>
    </w:p>
    <w:p>
      <w:pPr>
        <w:ind w:firstLine="31680"/>
      </w:pPr>
      <w:r>
        <w:rPr>
          <w:rFonts w:hint="eastAsia" w:cs="仿宋"/>
        </w:rPr>
        <w:t>《中华人民共和国固体废物污染环境防治法》</w:t>
      </w:r>
    </w:p>
    <w:p>
      <w:pPr>
        <w:ind w:firstLine="31680"/>
      </w:pPr>
      <w:r>
        <w:rPr>
          <w:rFonts w:hint="eastAsia" w:cs="仿宋"/>
        </w:rPr>
        <w:t>《中华人民共和国畜牧法》</w:t>
      </w:r>
    </w:p>
    <w:p>
      <w:pPr>
        <w:ind w:firstLine="31680"/>
      </w:pPr>
      <w:r>
        <w:rPr>
          <w:rFonts w:hint="eastAsia" w:cs="仿宋"/>
        </w:rPr>
        <w:t>《畜禽规模养殖污染防治条例》</w:t>
      </w:r>
    </w:p>
    <w:p>
      <w:pPr>
        <w:ind w:firstLine="31680"/>
        <w:rPr>
          <w:shd w:val="clear" w:color="auto" w:fill="FFFFFF"/>
        </w:rPr>
      </w:pPr>
      <w:r>
        <w:rPr>
          <w:rFonts w:hint="eastAsia" w:cs="仿宋"/>
          <w:shd w:val="clear" w:color="auto" w:fill="FFFFFF"/>
        </w:rPr>
        <w:t>《辽宁省环境保护条例》</w:t>
      </w:r>
    </w:p>
    <w:p>
      <w:pPr>
        <w:ind w:firstLine="31680"/>
        <w:rPr>
          <w:shd w:val="clear" w:color="auto" w:fill="FFFFFF"/>
        </w:rPr>
      </w:pPr>
      <w:r>
        <w:rPr>
          <w:rFonts w:hint="eastAsia" w:cs="仿宋"/>
          <w:shd w:val="clear" w:color="auto" w:fill="FFFFFF"/>
        </w:rPr>
        <w:t>《辽宁省水污染防治条例》</w:t>
      </w:r>
    </w:p>
    <w:p>
      <w:pPr>
        <w:ind w:firstLine="31680"/>
      </w:pPr>
      <w:r>
        <w:t>2.</w:t>
      </w:r>
      <w:r>
        <w:rPr>
          <w:rFonts w:hint="eastAsia" w:cs="仿宋"/>
        </w:rPr>
        <w:t>技术规范</w:t>
      </w:r>
    </w:p>
    <w:p>
      <w:pPr>
        <w:ind w:firstLine="31680"/>
      </w:pPr>
      <w:r>
        <w:t>GB 5084</w:t>
      </w:r>
      <w:r>
        <w:rPr>
          <w:rFonts w:hint="eastAsia" w:cs="仿宋"/>
        </w:rPr>
        <w:t>农田灌溉水质标准</w:t>
      </w:r>
    </w:p>
    <w:p>
      <w:pPr>
        <w:ind w:firstLine="31680"/>
      </w:pPr>
      <w:r>
        <w:t>GB 7959</w:t>
      </w:r>
      <w:r>
        <w:rPr>
          <w:rFonts w:hint="eastAsia" w:cs="仿宋"/>
        </w:rPr>
        <w:t>粪便无害化卫生要求</w:t>
      </w:r>
    </w:p>
    <w:p>
      <w:pPr>
        <w:ind w:firstLine="31680"/>
      </w:pPr>
      <w:r>
        <w:t>GB 15618</w:t>
      </w:r>
      <w:r>
        <w:rPr>
          <w:rFonts w:hint="eastAsia" w:cs="仿宋"/>
        </w:rPr>
        <w:t>土壤环境质量</w:t>
      </w:r>
      <w:r>
        <w:t>-</w:t>
      </w:r>
      <w:r>
        <w:rPr>
          <w:rFonts w:hint="eastAsia" w:cs="仿宋"/>
        </w:rPr>
        <w:t>农用地土壤污染风险管控标准</w:t>
      </w:r>
      <w:r>
        <w:t>(</w:t>
      </w:r>
      <w:r>
        <w:rPr>
          <w:rFonts w:hint="eastAsia" w:cs="仿宋"/>
        </w:rPr>
        <w:t>试行</w:t>
      </w:r>
      <w:r>
        <w:t>)</w:t>
      </w:r>
    </w:p>
    <w:p>
      <w:pPr>
        <w:ind w:firstLine="31680"/>
      </w:pPr>
      <w:r>
        <w:t>GB 18596</w:t>
      </w:r>
      <w:r>
        <w:rPr>
          <w:rFonts w:hint="eastAsia" w:cs="仿宋"/>
        </w:rPr>
        <w:t>畜禽养殖业污染物排放标准</w:t>
      </w:r>
    </w:p>
    <w:p>
      <w:pPr>
        <w:ind w:firstLine="31680"/>
      </w:pPr>
      <w:r>
        <w:t>GB/T18877</w:t>
      </w:r>
      <w:r>
        <w:rPr>
          <w:rFonts w:hint="eastAsia" w:cs="仿宋"/>
        </w:rPr>
        <w:t>有机</w:t>
      </w:r>
      <w:r>
        <w:t>-</w:t>
      </w:r>
      <w:r>
        <w:rPr>
          <w:rFonts w:hint="eastAsia" w:cs="仿宋"/>
        </w:rPr>
        <w:t>无机复混肥料</w:t>
      </w:r>
    </w:p>
    <w:p>
      <w:pPr>
        <w:ind w:firstLine="31680"/>
      </w:pPr>
      <w:r>
        <w:t>GB/T 25169</w:t>
      </w:r>
      <w:r>
        <w:rPr>
          <w:rFonts w:hint="eastAsia" w:cs="仿宋"/>
        </w:rPr>
        <w:t>畜禽粪便监测技术规范</w:t>
      </w:r>
      <w:r>
        <w:t xml:space="preserve"> </w:t>
      </w:r>
    </w:p>
    <w:p>
      <w:pPr>
        <w:ind w:firstLine="31680"/>
      </w:pPr>
      <w:r>
        <w:t>GB/T 25246</w:t>
      </w:r>
      <w:r>
        <w:rPr>
          <w:rFonts w:hint="eastAsia" w:cs="仿宋"/>
        </w:rPr>
        <w:t>畜禽粪便还田技术规范</w:t>
      </w:r>
    </w:p>
    <w:p>
      <w:pPr>
        <w:ind w:firstLine="31680"/>
      </w:pPr>
      <w:r>
        <w:t>GB/T 26624</w:t>
      </w:r>
      <w:r>
        <w:rPr>
          <w:rFonts w:hint="eastAsia" w:cs="仿宋"/>
        </w:rPr>
        <w:t>畜禽养殖污水贮存设施设计要求</w:t>
      </w:r>
    </w:p>
    <w:p>
      <w:pPr>
        <w:ind w:firstLine="31680"/>
      </w:pPr>
      <w:r>
        <w:t>GB/T 27622</w:t>
      </w:r>
      <w:r>
        <w:rPr>
          <w:rFonts w:hint="eastAsia" w:cs="仿宋"/>
        </w:rPr>
        <w:t>畜禽粪便贮存设施设计要求</w:t>
      </w:r>
    </w:p>
    <w:p>
      <w:pPr>
        <w:ind w:firstLine="31680"/>
      </w:pPr>
      <w:r>
        <w:t>GB/T 36195</w:t>
      </w:r>
      <w:r>
        <w:rPr>
          <w:rFonts w:hint="eastAsia" w:cs="仿宋"/>
        </w:rPr>
        <w:t>畜禽粪便无害化处理技术规范</w:t>
      </w:r>
    </w:p>
    <w:p>
      <w:pPr>
        <w:ind w:firstLine="31680"/>
      </w:pPr>
      <w:r>
        <w:t>HJ 497</w:t>
      </w:r>
      <w:r>
        <w:rPr>
          <w:rFonts w:hint="eastAsia" w:cs="仿宋"/>
        </w:rPr>
        <w:t>畜禽养殖业污染治理工程技术规范</w:t>
      </w:r>
    </w:p>
    <w:p>
      <w:pPr>
        <w:ind w:firstLine="31680"/>
      </w:pPr>
      <w:r>
        <w:t>HJ 1029</w:t>
      </w:r>
      <w:r>
        <w:rPr>
          <w:rFonts w:hint="eastAsia" w:cs="仿宋"/>
        </w:rPr>
        <w:t>排污许可证申请与核发技术规范</w:t>
      </w:r>
      <w:r>
        <w:t xml:space="preserve"> </w:t>
      </w:r>
      <w:r>
        <w:rPr>
          <w:rFonts w:hint="eastAsia" w:cs="仿宋"/>
        </w:rPr>
        <w:t>畜禽养殖行业</w:t>
      </w:r>
    </w:p>
    <w:p>
      <w:pPr>
        <w:ind w:firstLine="31680"/>
      </w:pPr>
      <w:r>
        <w:t>HJ/T 81</w:t>
      </w:r>
      <w:r>
        <w:rPr>
          <w:rFonts w:hint="eastAsia" w:cs="仿宋"/>
        </w:rPr>
        <w:t>畜禽养殖业污染防治技术规范</w:t>
      </w:r>
    </w:p>
    <w:p>
      <w:pPr>
        <w:ind w:firstLine="31680"/>
      </w:pPr>
      <w:r>
        <w:t>NY525</w:t>
      </w:r>
      <w:r>
        <w:rPr>
          <w:rFonts w:hint="eastAsia" w:cs="仿宋"/>
        </w:rPr>
        <w:t>有机肥料</w:t>
      </w:r>
    </w:p>
    <w:p>
      <w:pPr>
        <w:ind w:firstLine="31680"/>
      </w:pPr>
      <w:r>
        <w:t>NY/T 1169</w:t>
      </w:r>
      <w:r>
        <w:rPr>
          <w:rFonts w:hint="eastAsia" w:cs="仿宋"/>
        </w:rPr>
        <w:t>畜禽场环境污染控制技术规范</w:t>
      </w:r>
    </w:p>
    <w:p>
      <w:pPr>
        <w:ind w:firstLine="31680"/>
      </w:pPr>
      <w:r>
        <w:t>NY/T 2065</w:t>
      </w:r>
      <w:r>
        <w:rPr>
          <w:rFonts w:hint="eastAsia" w:cs="仿宋"/>
        </w:rPr>
        <w:t>沼肥施用技术规范</w:t>
      </w:r>
    </w:p>
    <w:p>
      <w:pPr>
        <w:ind w:firstLine="31680"/>
      </w:pPr>
      <w:r>
        <w:rPr>
          <w:rFonts w:hint="eastAsia" w:cs="仿宋"/>
        </w:rPr>
        <w:t>辽宁省《畜禽规模养殖场粪污资源化利用设施建设规范（试行）》</w:t>
      </w:r>
    </w:p>
    <w:p>
      <w:pPr>
        <w:ind w:firstLine="31680"/>
      </w:pPr>
      <w:r>
        <w:t>3.</w:t>
      </w:r>
      <w:r>
        <w:rPr>
          <w:rFonts w:hint="eastAsia" w:cs="仿宋"/>
        </w:rPr>
        <w:t>政策文件</w:t>
      </w:r>
    </w:p>
    <w:p>
      <w:pPr>
        <w:ind w:firstLine="31680"/>
      </w:pPr>
      <w:bookmarkStart w:id="7" w:name="_Hlk89872866"/>
      <w:r>
        <w:rPr>
          <w:rFonts w:hint="eastAsia" w:cs="仿宋"/>
        </w:rPr>
        <w:t>国务院办公厅《关于促进畜牧业高质量发展的意见》（国办发〔</w:t>
      </w:r>
      <w:r>
        <w:t>2020</w:t>
      </w:r>
      <w:r>
        <w:rPr>
          <w:rFonts w:hint="eastAsia" w:cs="仿宋"/>
        </w:rPr>
        <w:t>〕</w:t>
      </w:r>
      <w:r>
        <w:t>31</w:t>
      </w:r>
      <w:r>
        <w:rPr>
          <w:rFonts w:hint="eastAsia" w:cs="仿宋"/>
        </w:rPr>
        <w:t>号）</w:t>
      </w:r>
    </w:p>
    <w:p>
      <w:pPr>
        <w:ind w:firstLine="31680"/>
      </w:pPr>
      <w:r>
        <w:rPr>
          <w:rFonts w:hint="eastAsia" w:cs="仿宋"/>
        </w:rPr>
        <w:t>国务院办公厅《关于加快推进畜禽养殖废弃物资源化利用的意见》（国办发〔</w:t>
      </w:r>
      <w:r>
        <w:t>2017</w:t>
      </w:r>
      <w:r>
        <w:rPr>
          <w:rFonts w:hint="eastAsia" w:cs="仿宋"/>
        </w:rPr>
        <w:t>〕</w:t>
      </w:r>
      <w:r>
        <w:t>48</w:t>
      </w:r>
      <w:r>
        <w:rPr>
          <w:rFonts w:hint="eastAsia" w:cs="仿宋"/>
        </w:rPr>
        <w:t>号）</w:t>
      </w:r>
    </w:p>
    <w:p>
      <w:pPr>
        <w:ind w:firstLine="31680"/>
      </w:pPr>
      <w:r>
        <w:rPr>
          <w:rFonts w:hint="eastAsia" w:cs="仿宋"/>
        </w:rPr>
        <w:t>《农业面源污染治理与监督指导实施方案（试行）》（环办土壤〔</w:t>
      </w:r>
      <w:r>
        <w:t>2021</w:t>
      </w:r>
      <w:r>
        <w:rPr>
          <w:rFonts w:hint="eastAsia" w:cs="仿宋"/>
        </w:rPr>
        <w:t>〕</w:t>
      </w:r>
      <w:r>
        <w:t>8</w:t>
      </w:r>
      <w:r>
        <w:rPr>
          <w:rFonts w:hint="eastAsia" w:cs="仿宋"/>
        </w:rPr>
        <w:t>号）</w:t>
      </w:r>
    </w:p>
    <w:p>
      <w:pPr>
        <w:ind w:firstLine="31680"/>
      </w:pPr>
      <w:r>
        <w:rPr>
          <w:rFonts w:hint="eastAsia" w:cs="仿宋"/>
        </w:rPr>
        <w:t>《关于进一步明确畜禽粪污还田利用要求强化养殖污染监管的通知》（农办牧〔</w:t>
      </w:r>
      <w:r>
        <w:t>2020</w:t>
      </w:r>
      <w:r>
        <w:rPr>
          <w:rFonts w:hint="eastAsia" w:cs="仿宋"/>
        </w:rPr>
        <w:t>〕</w:t>
      </w:r>
      <w:r>
        <w:t>23</w:t>
      </w:r>
      <w:r>
        <w:rPr>
          <w:rFonts w:hint="eastAsia" w:cs="仿宋"/>
        </w:rPr>
        <w:t>号）</w:t>
      </w:r>
    </w:p>
    <w:p>
      <w:pPr>
        <w:ind w:firstLine="31680"/>
        <w:rPr>
          <w:sz w:val="30"/>
          <w:szCs w:val="30"/>
        </w:rPr>
      </w:pPr>
      <w:r>
        <w:rPr>
          <w:rFonts w:hint="eastAsia" w:cs="仿宋"/>
          <w:sz w:val="30"/>
          <w:szCs w:val="30"/>
        </w:rPr>
        <w:t>《畜禽规模养殖场粪污资源化利用设施建设规范（试行）》（农办牧〔</w:t>
      </w:r>
      <w:r>
        <w:rPr>
          <w:sz w:val="30"/>
          <w:szCs w:val="30"/>
        </w:rPr>
        <w:t>2018</w:t>
      </w:r>
      <w:r>
        <w:rPr>
          <w:rFonts w:hint="eastAsia" w:cs="仿宋"/>
          <w:sz w:val="30"/>
          <w:szCs w:val="30"/>
        </w:rPr>
        <w:t>〕</w:t>
      </w:r>
      <w:r>
        <w:rPr>
          <w:sz w:val="30"/>
          <w:szCs w:val="30"/>
        </w:rPr>
        <w:t>2</w:t>
      </w:r>
      <w:r>
        <w:rPr>
          <w:rFonts w:hint="eastAsia" w:cs="仿宋"/>
          <w:sz w:val="30"/>
          <w:szCs w:val="30"/>
        </w:rPr>
        <w:t>号）</w:t>
      </w:r>
    </w:p>
    <w:p>
      <w:pPr>
        <w:ind w:firstLine="31680"/>
      </w:pPr>
      <w:r>
        <w:rPr>
          <w:rFonts w:hint="eastAsia" w:cs="仿宋"/>
        </w:rPr>
        <w:t>《关于促进畜禽粪污还田利用</w:t>
      </w:r>
      <w:r>
        <w:t xml:space="preserve"> </w:t>
      </w:r>
      <w:r>
        <w:rPr>
          <w:rFonts w:hint="eastAsia" w:cs="仿宋"/>
        </w:rPr>
        <w:t>依法加强养殖污染治理的指导意见》（农办牧〔</w:t>
      </w:r>
      <w:r>
        <w:t>2019</w:t>
      </w:r>
      <w:r>
        <w:rPr>
          <w:rFonts w:hint="eastAsia" w:cs="仿宋"/>
        </w:rPr>
        <w:t>〕</w:t>
      </w:r>
      <w:r>
        <w:t>84</w:t>
      </w:r>
      <w:r>
        <w:rPr>
          <w:rFonts w:hint="eastAsia" w:cs="仿宋"/>
        </w:rPr>
        <w:t>号）</w:t>
      </w:r>
    </w:p>
    <w:p>
      <w:pPr>
        <w:ind w:firstLine="31680"/>
        <w:rPr>
          <w:sz w:val="30"/>
          <w:szCs w:val="30"/>
        </w:rPr>
      </w:pPr>
      <w:r>
        <w:rPr>
          <w:rFonts w:hint="eastAsia" w:cs="仿宋"/>
          <w:sz w:val="30"/>
          <w:szCs w:val="30"/>
        </w:rPr>
        <w:t>《畜禽粪污土地承载力测算技术指南》（农办牧〔</w:t>
      </w:r>
      <w:r>
        <w:rPr>
          <w:sz w:val="30"/>
          <w:szCs w:val="30"/>
        </w:rPr>
        <w:t>2018</w:t>
      </w:r>
      <w:r>
        <w:rPr>
          <w:rFonts w:hint="eastAsia" w:cs="仿宋"/>
          <w:sz w:val="30"/>
          <w:szCs w:val="30"/>
        </w:rPr>
        <w:t>〕</w:t>
      </w:r>
      <w:r>
        <w:rPr>
          <w:sz w:val="30"/>
          <w:szCs w:val="30"/>
        </w:rPr>
        <w:t>1</w:t>
      </w:r>
      <w:r>
        <w:rPr>
          <w:rFonts w:hint="eastAsia" w:cs="仿宋"/>
          <w:sz w:val="30"/>
          <w:szCs w:val="30"/>
        </w:rPr>
        <w:t>号）</w:t>
      </w:r>
    </w:p>
    <w:p>
      <w:pPr>
        <w:ind w:firstLine="31680"/>
        <w:rPr>
          <w:sz w:val="30"/>
          <w:szCs w:val="30"/>
        </w:rPr>
      </w:pPr>
      <w:r>
        <w:rPr>
          <w:rFonts w:hint="eastAsia" w:cs="仿宋"/>
          <w:sz w:val="30"/>
          <w:szCs w:val="30"/>
        </w:rPr>
        <w:t>《关于进一步规范畜禽养殖禁养区划定和管理</w:t>
      </w:r>
      <w:r>
        <w:rPr>
          <w:sz w:val="30"/>
          <w:szCs w:val="30"/>
        </w:rPr>
        <w:t xml:space="preserve"> </w:t>
      </w:r>
      <w:r>
        <w:rPr>
          <w:rFonts w:hint="eastAsia" w:cs="仿宋"/>
          <w:sz w:val="30"/>
          <w:szCs w:val="30"/>
        </w:rPr>
        <w:t>促进生猪生产发展的通知》（环办土壤〔</w:t>
      </w:r>
      <w:r>
        <w:rPr>
          <w:sz w:val="30"/>
          <w:szCs w:val="30"/>
        </w:rPr>
        <w:t>2019</w:t>
      </w:r>
      <w:r>
        <w:rPr>
          <w:rFonts w:hint="eastAsia" w:cs="仿宋"/>
          <w:sz w:val="30"/>
          <w:szCs w:val="30"/>
        </w:rPr>
        <w:t>〕</w:t>
      </w:r>
      <w:r>
        <w:rPr>
          <w:sz w:val="30"/>
          <w:szCs w:val="30"/>
        </w:rPr>
        <w:t>55</w:t>
      </w:r>
      <w:r>
        <w:rPr>
          <w:rFonts w:hint="eastAsia" w:cs="仿宋"/>
          <w:sz w:val="30"/>
          <w:szCs w:val="30"/>
        </w:rPr>
        <w:t>号）</w:t>
      </w:r>
    </w:p>
    <w:p>
      <w:pPr>
        <w:ind w:firstLine="31680"/>
      </w:pPr>
      <w:r>
        <w:rPr>
          <w:rFonts w:hint="eastAsia" w:cs="仿宋"/>
        </w:rPr>
        <w:t>《关于进一步规范畜禽养殖禁养区管理的通知》（环办土壤函〔</w:t>
      </w:r>
      <w:r>
        <w:t>2020</w:t>
      </w:r>
      <w:r>
        <w:rPr>
          <w:rFonts w:hint="eastAsia" w:cs="仿宋"/>
        </w:rPr>
        <w:t>〕</w:t>
      </w:r>
      <w:r>
        <w:t>33</w:t>
      </w:r>
      <w:r>
        <w:rPr>
          <w:rFonts w:hint="eastAsia" w:cs="仿宋"/>
        </w:rPr>
        <w:t>号）</w:t>
      </w:r>
    </w:p>
    <w:p>
      <w:pPr>
        <w:ind w:firstLine="31680"/>
        <w:rPr>
          <w:sz w:val="30"/>
          <w:szCs w:val="30"/>
        </w:rPr>
      </w:pPr>
      <w:r>
        <w:rPr>
          <w:rFonts w:hint="eastAsia" w:cs="仿宋"/>
          <w:sz w:val="30"/>
          <w:szCs w:val="30"/>
        </w:rPr>
        <w:t>《关于开展水环境承载力评价工作的通知》（环办水体函〔</w:t>
      </w:r>
      <w:r>
        <w:rPr>
          <w:sz w:val="30"/>
          <w:szCs w:val="30"/>
        </w:rPr>
        <w:t>2020</w:t>
      </w:r>
      <w:r>
        <w:rPr>
          <w:rFonts w:hint="eastAsia" w:cs="仿宋"/>
          <w:sz w:val="30"/>
          <w:szCs w:val="30"/>
        </w:rPr>
        <w:t>〕</w:t>
      </w:r>
      <w:r>
        <w:rPr>
          <w:sz w:val="30"/>
          <w:szCs w:val="30"/>
        </w:rPr>
        <w:t>538</w:t>
      </w:r>
      <w:r>
        <w:rPr>
          <w:rFonts w:hint="eastAsia" w:cs="仿宋"/>
          <w:sz w:val="30"/>
          <w:szCs w:val="30"/>
        </w:rPr>
        <w:t>号）</w:t>
      </w:r>
    </w:p>
    <w:p>
      <w:pPr>
        <w:ind w:firstLine="31680"/>
      </w:pPr>
      <w:r>
        <w:rPr>
          <w:rFonts w:hint="eastAsia" w:cs="仿宋"/>
        </w:rPr>
        <w:t>《国务院办公厅关于建立病死畜禽无害化处理机制的意见》（国办发〔</w:t>
      </w:r>
      <w:r>
        <w:t>2014</w:t>
      </w:r>
      <w:r>
        <w:rPr>
          <w:rFonts w:hint="eastAsia" w:cs="仿宋"/>
        </w:rPr>
        <w:t>〕</w:t>
      </w:r>
      <w:r>
        <w:t>47</w:t>
      </w:r>
      <w:r>
        <w:rPr>
          <w:rFonts w:hint="eastAsia" w:cs="仿宋"/>
        </w:rPr>
        <w:t>号）</w:t>
      </w:r>
    </w:p>
    <w:p>
      <w:pPr>
        <w:ind w:firstLine="31680"/>
      </w:pPr>
      <w:r>
        <w:rPr>
          <w:rFonts w:hint="eastAsia" w:cs="仿宋"/>
        </w:rPr>
        <w:t>《辽宁省关于促进畜禽粪污还田利用依法加强养殖污染治理的通知》（辽农办畜发〔</w:t>
      </w:r>
      <w:r>
        <w:t>2020</w:t>
      </w:r>
      <w:r>
        <w:rPr>
          <w:rFonts w:hint="eastAsia" w:cs="仿宋"/>
        </w:rPr>
        <w:t>〕</w:t>
      </w:r>
      <w:r>
        <w:t>70</w:t>
      </w:r>
      <w:r>
        <w:rPr>
          <w:rFonts w:hint="eastAsia" w:cs="仿宋"/>
        </w:rPr>
        <w:t>号）</w:t>
      </w:r>
    </w:p>
    <w:bookmarkEnd w:id="7"/>
    <w:p>
      <w:pPr>
        <w:ind w:firstLine="31680"/>
      </w:pPr>
      <w:r>
        <w:t>4.</w:t>
      </w:r>
      <w:r>
        <w:rPr>
          <w:rFonts w:hint="eastAsia" w:cs="仿宋"/>
        </w:rPr>
        <w:t>相关规划</w:t>
      </w:r>
    </w:p>
    <w:p>
      <w:pPr>
        <w:ind w:firstLine="31680"/>
      </w:pPr>
      <w:r>
        <w:rPr>
          <w:rFonts w:hint="eastAsia" w:cs="仿宋"/>
        </w:rPr>
        <w:t>《沈阳市现代畜牧业</w:t>
      </w:r>
      <w:r>
        <w:t>“</w:t>
      </w:r>
      <w:r>
        <w:rPr>
          <w:rFonts w:hint="eastAsia" w:cs="仿宋"/>
        </w:rPr>
        <w:t>十四五</w:t>
      </w:r>
      <w:r>
        <w:t>”</w:t>
      </w:r>
      <w:r>
        <w:rPr>
          <w:rFonts w:hint="eastAsia" w:cs="仿宋"/>
        </w:rPr>
        <w:t>发展规划规划（征求意见稿）》</w:t>
      </w:r>
    </w:p>
    <w:p>
      <w:pPr>
        <w:ind w:firstLine="31680"/>
      </w:pPr>
      <w:r>
        <w:rPr>
          <w:rFonts w:hint="eastAsia" w:cs="仿宋"/>
        </w:rPr>
        <w:t>《沈阳市生态环境保护“十四五”规划》</w:t>
      </w:r>
    </w:p>
    <w:bookmarkEnd w:id="5"/>
    <w:p>
      <w:pPr>
        <w:ind w:firstLine="31680"/>
      </w:pPr>
      <w:r>
        <w:rPr>
          <w:rFonts w:hint="eastAsia" w:cs="仿宋"/>
        </w:rPr>
        <w:t>《沈阳市国民经济和社会发展第十四个五年规划和二〇三五年远景目标纲要》</w:t>
      </w:r>
    </w:p>
    <w:p>
      <w:pPr>
        <w:pStyle w:val="3"/>
      </w:pPr>
      <w:bookmarkStart w:id="8" w:name="_Toc90558526"/>
      <w:r>
        <w:t>1.3</w:t>
      </w:r>
      <w:r>
        <w:rPr>
          <w:rFonts w:hint="eastAsia" w:cs="仿宋"/>
        </w:rPr>
        <w:t>规划期限和范围</w:t>
      </w:r>
      <w:bookmarkEnd w:id="8"/>
    </w:p>
    <w:p>
      <w:pPr>
        <w:ind w:firstLine="31680"/>
      </w:pPr>
      <w:r>
        <w:rPr>
          <w:rFonts w:hint="eastAsia" w:cs="仿宋"/>
        </w:rPr>
        <w:t>规划时限：</w:t>
      </w:r>
      <w:r>
        <w:t>2021-2025</w:t>
      </w:r>
      <w:r>
        <w:rPr>
          <w:rFonts w:hint="eastAsia" w:cs="仿宋"/>
        </w:rPr>
        <w:t>年。规划基准年</w:t>
      </w:r>
      <w:r>
        <w:t>2020</w:t>
      </w:r>
      <w:r>
        <w:rPr>
          <w:rFonts w:hint="eastAsia" w:cs="仿宋"/>
        </w:rPr>
        <w:t>年。</w:t>
      </w:r>
    </w:p>
    <w:p>
      <w:pPr>
        <w:ind w:firstLine="31680"/>
        <w:rPr>
          <w:sz w:val="30"/>
          <w:szCs w:val="30"/>
        </w:rPr>
      </w:pPr>
      <w:r>
        <w:rPr>
          <w:rFonts w:hint="eastAsia" w:cs="仿宋"/>
        </w:rPr>
        <w:t>规划范围：沈阳市浑南区、沈北新区、苏家屯、于洪区、铁西区、法库县、康平县、新民市、辽中区</w:t>
      </w:r>
      <w:r>
        <w:t>9</w:t>
      </w:r>
      <w:r>
        <w:rPr>
          <w:rFonts w:hint="eastAsia" w:cs="仿宋"/>
        </w:rPr>
        <w:t>个涉农区县（其中沈北新区、辽中区、新民市、法库县、康平县为畜牧大县），包括区域内畜禽规模养殖场和畜禽养殖户。</w:t>
      </w:r>
    </w:p>
    <w:p>
      <w:pPr>
        <w:pStyle w:val="2"/>
      </w:pPr>
      <w:bookmarkStart w:id="9" w:name="_Toc90558527"/>
      <w:r>
        <w:t>2</w:t>
      </w:r>
      <w:r>
        <w:rPr>
          <w:rFonts w:hint="eastAsia" w:cs="仿宋"/>
        </w:rPr>
        <w:t>、区域概况</w:t>
      </w:r>
      <w:bookmarkEnd w:id="9"/>
    </w:p>
    <w:p>
      <w:pPr>
        <w:pStyle w:val="3"/>
      </w:pPr>
      <w:bookmarkStart w:id="10" w:name="_Toc90558528"/>
      <w:r>
        <w:t>2.1</w:t>
      </w:r>
      <w:r>
        <w:rPr>
          <w:rFonts w:hint="eastAsia" w:cs="仿宋"/>
        </w:rPr>
        <w:t>自然条件概况</w:t>
      </w:r>
      <w:bookmarkEnd w:id="10"/>
    </w:p>
    <w:p>
      <w:pPr>
        <w:pStyle w:val="4"/>
      </w:pPr>
      <w:r>
        <w:t>2.1.1</w:t>
      </w:r>
      <w:r>
        <w:rPr>
          <w:rFonts w:hint="eastAsia" w:cs="仿宋"/>
        </w:rPr>
        <w:t>地理位置</w:t>
      </w:r>
    </w:p>
    <w:p>
      <w:pPr>
        <w:ind w:firstLine="31680"/>
      </w:pPr>
      <w:r>
        <w:rPr>
          <w:rFonts w:hint="eastAsia" w:cs="仿宋"/>
        </w:rPr>
        <w:t>沈阳市位于辽宁省中部。在北纬</w:t>
      </w:r>
      <w:r>
        <w:t>41</w:t>
      </w:r>
      <w:r>
        <w:rPr>
          <w:rFonts w:hint="eastAsia" w:cs="仿宋"/>
        </w:rPr>
        <w:t>度</w:t>
      </w:r>
      <w:r>
        <w:t>11</w:t>
      </w:r>
      <w:r>
        <w:rPr>
          <w:rFonts w:hint="eastAsia" w:cs="仿宋"/>
        </w:rPr>
        <w:t>分</w:t>
      </w:r>
      <w:r>
        <w:t>51</w:t>
      </w:r>
      <w:r>
        <w:rPr>
          <w:rFonts w:hint="eastAsia" w:cs="仿宋"/>
        </w:rPr>
        <w:t>秒至</w:t>
      </w:r>
      <w:r>
        <w:t>43</w:t>
      </w:r>
      <w:r>
        <w:rPr>
          <w:rFonts w:hint="eastAsia" w:cs="仿宋"/>
        </w:rPr>
        <w:t>度</w:t>
      </w:r>
      <w:r>
        <w:t>2</w:t>
      </w:r>
      <w:r>
        <w:rPr>
          <w:rFonts w:hint="eastAsia" w:cs="仿宋"/>
        </w:rPr>
        <w:t>分</w:t>
      </w:r>
      <w:r>
        <w:t>13</w:t>
      </w:r>
      <w:r>
        <w:rPr>
          <w:rFonts w:hint="eastAsia" w:cs="仿宋"/>
        </w:rPr>
        <w:t>秒、东经</w:t>
      </w:r>
      <w:r>
        <w:t>122</w:t>
      </w:r>
      <w:r>
        <w:rPr>
          <w:rFonts w:hint="eastAsia" w:cs="仿宋"/>
        </w:rPr>
        <w:t>度</w:t>
      </w:r>
      <w:r>
        <w:t>25</w:t>
      </w:r>
      <w:r>
        <w:rPr>
          <w:rFonts w:hint="eastAsia" w:cs="仿宋"/>
        </w:rPr>
        <w:t>分</w:t>
      </w:r>
      <w:r>
        <w:t>9</w:t>
      </w:r>
      <w:r>
        <w:rPr>
          <w:rFonts w:hint="eastAsia" w:cs="仿宋"/>
        </w:rPr>
        <w:t>秒至</w:t>
      </w:r>
      <w:r>
        <w:t>123</w:t>
      </w:r>
      <w:r>
        <w:rPr>
          <w:rFonts w:hint="eastAsia" w:cs="仿宋"/>
        </w:rPr>
        <w:t>度</w:t>
      </w:r>
      <w:r>
        <w:t>48</w:t>
      </w:r>
      <w:r>
        <w:rPr>
          <w:rFonts w:hint="eastAsia" w:cs="仿宋"/>
        </w:rPr>
        <w:t>分</w:t>
      </w:r>
      <w:r>
        <w:t>24</w:t>
      </w:r>
      <w:r>
        <w:rPr>
          <w:rFonts w:hint="eastAsia" w:cs="仿宋"/>
        </w:rPr>
        <w:t>秒之间。东西宽</w:t>
      </w:r>
      <w:r>
        <w:t>115</w:t>
      </w:r>
      <w:r>
        <w:rPr>
          <w:rFonts w:hint="eastAsia" w:cs="仿宋"/>
        </w:rPr>
        <w:t>千米，南北长</w:t>
      </w:r>
      <w:r>
        <w:t>205</w:t>
      </w:r>
      <w:r>
        <w:rPr>
          <w:rFonts w:hint="eastAsia" w:cs="仿宋"/>
        </w:rPr>
        <w:t>千米。国土面积</w:t>
      </w:r>
      <w:r>
        <w:t>1.286</w:t>
      </w:r>
      <w:r>
        <w:rPr>
          <w:rFonts w:hint="eastAsia" w:cs="仿宋"/>
        </w:rPr>
        <w:t>万平方千米。东临抚顺市，南与本溪市和辽阳市相连，西与鞍山市的台安、锦州市的黑山、阜新市的彰武县接壤，北与内蒙古自治区科左后旗及铁岭市的昌图县、开原市和铁岭县相邻。</w:t>
      </w:r>
    </w:p>
    <w:p>
      <w:pPr>
        <w:ind w:firstLine="0" w:firstLineChars="0"/>
        <w:jc w:val="center"/>
      </w:pPr>
      <w:r>
        <w:pict>
          <v:shape id="_x0000_s1026" o:spid="_x0000_s1026" o:spt="202" type="#_x0000_t202" style="position:absolute;left:0pt;margin-left:202.1pt;margin-top:21.9pt;height:56.95pt;width:24.1pt;z-index:251659264;mso-width-relative:page;mso-height-relative:page;" filled="f" stroked="f" coordsize="21600,21600">
            <v:path/>
            <v:fill on="f" focussize="0,0"/>
            <v:stroke on="f" joinstyle="miter"/>
            <v:imagedata o:title=""/>
            <o:lock v:ext="edit"/>
            <v:textbox>
              <w:txbxContent>
                <w:p>
                  <w:pPr>
                    <w:adjustRightInd w:val="0"/>
                    <w:snapToGrid w:val="0"/>
                    <w:spacing w:line="240" w:lineRule="auto"/>
                    <w:ind w:firstLine="0" w:firstLineChars="0"/>
                    <w:rPr>
                      <w:rFonts w:ascii="华文楷体" w:hAnsi="华文楷体" w:eastAsia="华文楷体"/>
                      <w:b/>
                      <w:bCs/>
                      <w:color w:val="FF0000"/>
                      <w:sz w:val="18"/>
                      <w:szCs w:val="18"/>
                    </w:rPr>
                  </w:pPr>
                  <w:r>
                    <w:rPr>
                      <w:rFonts w:hint="eastAsia" w:ascii="华文楷体" w:hAnsi="华文楷体" w:eastAsia="华文楷体" w:cs="华文楷体"/>
                      <w:b/>
                      <w:bCs/>
                      <w:color w:val="FF0000"/>
                      <w:sz w:val="18"/>
                      <w:szCs w:val="18"/>
                    </w:rPr>
                    <w:t>沈阳</w:t>
                  </w:r>
                </w:p>
              </w:txbxContent>
            </v:textbox>
          </v:shape>
        </w:pict>
      </w:r>
      <w:r>
        <w:pict>
          <v:shape id="_x0000_i1025" o:spt="75" type="#_x0000_t75" style="height:148.5pt;width:256.5pt;" filled="f" o:preferrelative="t" stroked="f" coordsize="21600,21600">
            <v:path/>
            <v:fill on="f" focussize="0,0"/>
            <v:stroke on="f" joinstyle="miter"/>
            <v:imagedata r:id="rId12" cropright="8460f" o:title=""/>
            <o:lock v:ext="edit" aspectratio="t"/>
            <w10:wrap type="none"/>
            <w10:anchorlock/>
          </v:shape>
        </w:pict>
      </w:r>
    </w:p>
    <w:p>
      <w:pPr>
        <w:pStyle w:val="5"/>
        <w:spacing w:before="190"/>
      </w:pPr>
      <w:r>
        <w:rPr>
          <w:rFonts w:hint="eastAsia" w:cs="仿宋"/>
        </w:rPr>
        <w:t>图</w:t>
      </w:r>
      <w:r>
        <w:t>2-1</w:t>
      </w:r>
      <w:r>
        <w:rPr>
          <w:rFonts w:hint="eastAsia" w:cs="仿宋"/>
        </w:rPr>
        <w:t>沈阳市位置图</w:t>
      </w:r>
    </w:p>
    <w:p>
      <w:pPr>
        <w:ind w:firstLine="31680"/>
      </w:pPr>
    </w:p>
    <w:p>
      <w:pPr>
        <w:pStyle w:val="4"/>
      </w:pPr>
      <w:r>
        <w:t>2.1.2</w:t>
      </w:r>
      <w:r>
        <w:rPr>
          <w:rFonts w:hint="eastAsia" w:cs="仿宋"/>
        </w:rPr>
        <w:t>地形地貌</w:t>
      </w:r>
    </w:p>
    <w:p>
      <w:pPr>
        <w:ind w:firstLine="31680"/>
        <w:jc w:val="left"/>
      </w:pPr>
      <w:r>
        <w:rPr>
          <w:rFonts w:hint="eastAsia" w:cs="仿宋"/>
        </w:rPr>
        <w:t>（</w:t>
      </w:r>
      <w:r>
        <w:t>1</w:t>
      </w:r>
      <w:r>
        <w:rPr>
          <w:rFonts w:hint="eastAsia" w:cs="仿宋"/>
        </w:rPr>
        <w:t>）地形</w:t>
      </w:r>
    </w:p>
    <w:p>
      <w:pPr>
        <w:ind w:firstLine="31680"/>
      </w:pPr>
      <w:r>
        <w:rPr>
          <w:rFonts w:hint="eastAsia" w:cs="仿宋"/>
        </w:rPr>
        <w:t>沈阳市地处长白山余脉与辽河冲积平原过渡地带，地势较为平坦，以平原为主，平均海拔</w:t>
      </w:r>
      <w:r>
        <w:t>50</w:t>
      </w:r>
      <w:r>
        <w:rPr>
          <w:rFonts w:hint="eastAsia" w:cs="仿宋"/>
        </w:rPr>
        <w:t>米左右。全市最高海拔点</w:t>
      </w:r>
      <w:r>
        <w:t>447.2</w:t>
      </w:r>
      <w:r>
        <w:rPr>
          <w:rFonts w:hint="eastAsia" w:cs="仿宋"/>
        </w:rPr>
        <w:t>米，位于法库县境内的巴尔虎山；最低海拔点</w:t>
      </w:r>
      <w:r>
        <w:t>5.3</w:t>
      </w:r>
      <w:r>
        <w:rPr>
          <w:rFonts w:hint="eastAsia" w:cs="仿宋"/>
        </w:rPr>
        <w:t>米，位于辽中县于家房镇上顶子村。地势东高西低，由东、东北向西南缓缓倾斜，东部主要为低山丘陵地区，属辽东丘陵的延伸部分；西部是辽河、浑河冲积平原。</w:t>
      </w:r>
    </w:p>
    <w:p>
      <w:pPr>
        <w:ind w:firstLine="31680"/>
        <w:jc w:val="left"/>
      </w:pPr>
      <w:r>
        <w:rPr>
          <w:rFonts w:hint="eastAsia" w:cs="仿宋"/>
        </w:rPr>
        <w:t>（</w:t>
      </w:r>
      <w:r>
        <w:t>2</w:t>
      </w:r>
      <w:r>
        <w:rPr>
          <w:rFonts w:hint="eastAsia" w:cs="仿宋"/>
        </w:rPr>
        <w:t>）地貌</w:t>
      </w:r>
    </w:p>
    <w:p>
      <w:pPr>
        <w:ind w:firstLine="31680"/>
      </w:pPr>
      <w:r>
        <w:rPr>
          <w:rFonts w:hint="eastAsia" w:cs="仿宋"/>
        </w:rPr>
        <w:t>沈阳市的地貌类型有构造剥蚀丘陵、波状岗台地、冲洪积扇、冲积平原和沙丘群。构造剥蚀丘陵主要分布在康平南部和法库的中北部、法库的西部和东部及沈北新区、东陵区和苏家屯区的东部。波状岗台地分布在各丘陵地的外围与河流冲积平原衔接地带，见于康平县西部、南部，法库县的中部和沈北新区的东部。冲洪积扇主要有辽河冲洪积扇和浑河冲洪积扇。冲积平原由河流冲击而成的平原是沈阳市地貌的主体，分布在各河流的两侧。沙丘群主要有康平县北部沙丘群、新民市沙丘群、辽中县沙丘群、于洪区大藩镇沙丘群。</w:t>
      </w:r>
    </w:p>
    <w:p>
      <w:pPr>
        <w:pStyle w:val="4"/>
      </w:pPr>
      <w:r>
        <w:t>2.1.3</w:t>
      </w:r>
      <w:r>
        <w:rPr>
          <w:rFonts w:hint="eastAsia" w:cs="仿宋"/>
        </w:rPr>
        <w:t>气候特征</w:t>
      </w:r>
    </w:p>
    <w:p>
      <w:pPr>
        <w:ind w:firstLine="31680"/>
      </w:pPr>
      <w:r>
        <w:rPr>
          <w:rFonts w:hint="eastAsia" w:cs="仿宋"/>
        </w:rPr>
        <w:t>沈阳市属温带半湿润大陆性气候，全年气温在</w:t>
      </w:r>
      <w:r>
        <w:t>-35</w:t>
      </w:r>
      <w:r>
        <w:rPr>
          <w:rFonts w:hint="eastAsia" w:ascii="宋体" w:hAnsi="宋体" w:eastAsia="宋体" w:cs="宋体"/>
        </w:rPr>
        <w:t>℃</w:t>
      </w:r>
      <w:r>
        <w:rPr>
          <w:rFonts w:hint="eastAsia" w:cs="仿宋"/>
        </w:rPr>
        <w:t>～</w:t>
      </w:r>
      <w:r>
        <w:t>36</w:t>
      </w:r>
      <w:r>
        <w:rPr>
          <w:rFonts w:hint="eastAsia" w:ascii="宋体" w:hAnsi="宋体" w:eastAsia="宋体" w:cs="宋体"/>
        </w:rPr>
        <w:t>℃</w:t>
      </w:r>
      <w:r>
        <w:rPr>
          <w:rFonts w:hint="eastAsia" w:cs="仿宋"/>
        </w:rPr>
        <w:t>之间。年平均气温</w:t>
      </w:r>
      <w:r>
        <w:t>6.2</w:t>
      </w:r>
      <w:r>
        <w:rPr>
          <w:rFonts w:hint="eastAsia" w:cs="仿宋"/>
        </w:rPr>
        <w:t>～</w:t>
      </w:r>
      <w:r>
        <w:t>9.7</w:t>
      </w:r>
      <w:r>
        <w:rPr>
          <w:rFonts w:hint="eastAsia" w:ascii="宋体" w:hAnsi="宋体" w:eastAsia="宋体" w:cs="宋体"/>
        </w:rPr>
        <w:t>℃</w:t>
      </w:r>
      <w:r>
        <w:rPr>
          <w:rFonts w:hint="eastAsia" w:cs="仿宋"/>
        </w:rPr>
        <w:t>。由于受季风影响，沈阳市降水集中、温差较大、四季分明。全年降水量</w:t>
      </w:r>
      <w:r>
        <w:t>600</w:t>
      </w:r>
      <w:r>
        <w:rPr>
          <w:rFonts w:hint="eastAsia" w:cs="仿宋"/>
        </w:rPr>
        <w:t>～</w:t>
      </w:r>
      <w:r>
        <w:t>800</w:t>
      </w:r>
      <w:r>
        <w:rPr>
          <w:rFonts w:hint="eastAsia" w:cs="仿宋"/>
        </w:rPr>
        <w:t>毫米，</w:t>
      </w:r>
      <w:r>
        <w:t>1951</w:t>
      </w:r>
      <w:r>
        <w:rPr>
          <w:rFonts w:hint="eastAsia" w:cs="仿宋"/>
        </w:rPr>
        <w:t>年至</w:t>
      </w:r>
      <w:r>
        <w:t>2010</w:t>
      </w:r>
      <w:r>
        <w:rPr>
          <w:rFonts w:hint="eastAsia" w:cs="仿宋"/>
        </w:rPr>
        <w:t>年市区年平均降水量</w:t>
      </w:r>
      <w:r>
        <w:t>716.2</w:t>
      </w:r>
      <w:r>
        <w:rPr>
          <w:rFonts w:hint="eastAsia" w:cs="仿宋"/>
        </w:rPr>
        <w:t>毫米，全年无霜期</w:t>
      </w:r>
      <w:r>
        <w:t>155</w:t>
      </w:r>
      <w:r>
        <w:rPr>
          <w:rFonts w:hint="eastAsia" w:cs="仿宋"/>
        </w:rPr>
        <w:t>～</w:t>
      </w:r>
      <w:r>
        <w:t>180</w:t>
      </w:r>
      <w:r>
        <w:rPr>
          <w:rFonts w:hint="eastAsia" w:cs="仿宋"/>
        </w:rPr>
        <w:t>天。冬寒时间较长，降雪较少；夏季时间较短，多雨。春秋两季气温变化迅速，持续时间短，春季多风，秋季晴朗。</w:t>
      </w:r>
    </w:p>
    <w:p>
      <w:pPr>
        <w:pStyle w:val="4"/>
      </w:pPr>
      <w:r>
        <w:t>2.1.4</w:t>
      </w:r>
      <w:r>
        <w:rPr>
          <w:rFonts w:hint="eastAsia" w:cs="仿宋"/>
        </w:rPr>
        <w:t>水资源</w:t>
      </w:r>
    </w:p>
    <w:p>
      <w:pPr>
        <w:ind w:firstLine="31680"/>
      </w:pPr>
      <w:bookmarkStart w:id="11" w:name="_Hlk81236160"/>
      <w:r>
        <w:t>2020</w:t>
      </w:r>
      <w:r>
        <w:rPr>
          <w:rFonts w:hint="eastAsia" w:cs="仿宋"/>
        </w:rPr>
        <w:t>年，沈阳市累计降水量</w:t>
      </w:r>
      <w:r>
        <w:t xml:space="preserve">658.5 </w:t>
      </w:r>
      <w:r>
        <w:rPr>
          <w:rFonts w:hint="eastAsia" w:cs="仿宋"/>
        </w:rPr>
        <w:t>毫米，为历年同期</w:t>
      </w:r>
      <w:r>
        <w:t>(624.3</w:t>
      </w:r>
      <w:r>
        <w:rPr>
          <w:rFonts w:hint="eastAsia" w:cs="仿宋"/>
        </w:rPr>
        <w:t>毫米</w:t>
      </w:r>
      <w:r>
        <w:t>)</w:t>
      </w:r>
      <w:r>
        <w:rPr>
          <w:rFonts w:hint="eastAsia" w:cs="仿宋"/>
        </w:rPr>
        <w:t>的</w:t>
      </w:r>
      <w:r>
        <w:t>105. 5%</w:t>
      </w:r>
      <w:r>
        <w:rPr>
          <w:rFonts w:hint="eastAsia" w:cs="仿宋"/>
        </w:rPr>
        <w:t>，为去年同期</w:t>
      </w:r>
      <w:r>
        <w:t>(818.5</w:t>
      </w:r>
      <w:r>
        <w:rPr>
          <w:rFonts w:hint="eastAsia" w:cs="仿宋"/>
        </w:rPr>
        <w:t>毫米</w:t>
      </w:r>
      <w:r>
        <w:t>)</w:t>
      </w:r>
      <w:r>
        <w:rPr>
          <w:rFonts w:hint="eastAsia" w:cs="仿宋"/>
        </w:rPr>
        <w:t>的</w:t>
      </w:r>
      <w:r>
        <w:t>80.5%</w:t>
      </w:r>
      <w:r>
        <w:rPr>
          <w:rFonts w:hint="eastAsia" w:cs="仿宋"/>
        </w:rPr>
        <w:t>，属于丰水年。全市多年平均水资源总量为</w:t>
      </w:r>
      <w:r>
        <w:t>23. 78</w:t>
      </w:r>
      <w:r>
        <w:rPr>
          <w:rFonts w:hint="eastAsia" w:cs="仿宋"/>
        </w:rPr>
        <w:t>亿立方米，其中，地表水</w:t>
      </w:r>
      <w:r>
        <w:t>11.18</w:t>
      </w:r>
      <w:r>
        <w:rPr>
          <w:rFonts w:hint="eastAsia" w:cs="仿宋"/>
        </w:rPr>
        <w:t>亿立方米，地下水</w:t>
      </w:r>
      <w:r>
        <w:t>21. 38</w:t>
      </w:r>
      <w:r>
        <w:rPr>
          <w:rFonts w:hint="eastAsia" w:cs="仿宋"/>
        </w:rPr>
        <w:t>亿立方米，重复计算量</w:t>
      </w:r>
      <w:r>
        <w:t>8.78</w:t>
      </w:r>
      <w:r>
        <w:rPr>
          <w:rFonts w:hint="eastAsia" w:cs="仿宋"/>
        </w:rPr>
        <w:t>亿立方米。</w:t>
      </w:r>
      <w:bookmarkEnd w:id="11"/>
    </w:p>
    <w:p>
      <w:pPr>
        <w:pStyle w:val="4"/>
      </w:pPr>
      <w:r>
        <w:t>2.1.5</w:t>
      </w:r>
      <w:r>
        <w:rPr>
          <w:rFonts w:hint="eastAsia" w:cs="仿宋"/>
        </w:rPr>
        <w:t>水系分布</w:t>
      </w:r>
    </w:p>
    <w:p>
      <w:pPr>
        <w:ind w:firstLine="31680"/>
        <w:rPr>
          <w:sz w:val="24"/>
          <w:szCs w:val="24"/>
        </w:rPr>
      </w:pPr>
      <w:r>
        <w:rPr>
          <w:rFonts w:hint="eastAsia" w:cs="仿宋"/>
        </w:rPr>
        <w:t>沈阳市地处辽河流域，境内有浑河、辽河两大水系及北沙河，市区环城水系由南运河、北运河、卫工河及沿途</w:t>
      </w:r>
      <w:r>
        <w:t>5</w:t>
      </w:r>
      <w:r>
        <w:rPr>
          <w:rFonts w:hint="eastAsia" w:cs="仿宋"/>
        </w:rPr>
        <w:t>个公园湖构成，有棋盘山水库、团结水库等中小型水库</w:t>
      </w:r>
      <w:r>
        <w:t>54</w:t>
      </w:r>
      <w:r>
        <w:rPr>
          <w:rFonts w:hint="eastAsia" w:cs="仿宋"/>
        </w:rPr>
        <w:t>座。</w:t>
      </w:r>
    </w:p>
    <w:p>
      <w:pPr>
        <w:ind w:firstLine="31680"/>
      </w:pPr>
      <w:r>
        <w:rPr>
          <w:rFonts w:hint="eastAsia" w:cs="仿宋"/>
        </w:rPr>
        <w:t>浑河在浑南区入境，在辽中区出境入营口市，境内河长</w:t>
      </w:r>
      <w:r>
        <w:t>172.6</w:t>
      </w:r>
      <w:r>
        <w:rPr>
          <w:rFonts w:hint="eastAsia" w:cs="仿宋"/>
        </w:rPr>
        <w:t>千米。浑河流经市区南部，且接纳城市污水，在沈阳市水环境中占有重要地位。浑河水量受人工调控的程度较高，仅在农灌季节大伙房水库放水及汛期径流量较大，平时径流量很小。浑河在沈阳市境内有</w:t>
      </w:r>
      <w:r>
        <w:t>5</w:t>
      </w:r>
      <w:r>
        <w:rPr>
          <w:rFonts w:hint="eastAsia" w:cs="仿宋"/>
        </w:rPr>
        <w:t>条主要支流河，为蒲河、细河、满堂河、白塔堡河、杨官河。</w:t>
      </w:r>
    </w:p>
    <w:p>
      <w:pPr>
        <w:ind w:firstLine="31680"/>
      </w:pPr>
      <w:r>
        <w:rPr>
          <w:rFonts w:hint="eastAsia" w:cs="仿宋"/>
        </w:rPr>
        <w:t>辽河在康平县入境，在法库县出境入铁岭市，然后在沈北新区重新入境，最后在辽中区出境入盘锦市，境内河长约</w:t>
      </w:r>
      <w:r>
        <w:t>270.0</w:t>
      </w:r>
      <w:r>
        <w:rPr>
          <w:rFonts w:hint="eastAsia" w:cs="仿宋"/>
        </w:rPr>
        <w:t>千米。辽河流经沈阳四个郊区县，出入境水质无明显变化，水质好于浑河。辽河在沈阳市境内有</w:t>
      </w:r>
      <w:r>
        <w:t>15</w:t>
      </w:r>
      <w:r>
        <w:rPr>
          <w:rFonts w:hint="eastAsia" w:cs="仿宋"/>
        </w:rPr>
        <w:t>条主要支流河，为八家子河、王河、拉马河、秀水河、养息牧河、长河、左小河、柳河、绕阳河、东马莲河、西马莲河、李家河、蚂螂河、南小陵河、公河。这些支流河总体特点为汛期流量大水位高、夹砂量大，枯水期流量小，柳河、绕阳河等支流河有季节性断流，东马莲河、西马莲河、李家河、蚂螂河、南小陵河、公河</w:t>
      </w:r>
      <w:r>
        <w:t>6</w:t>
      </w:r>
      <w:r>
        <w:rPr>
          <w:rFonts w:hint="eastAsia" w:cs="仿宋"/>
        </w:rPr>
        <w:t>条支流河常年断流。</w:t>
      </w:r>
    </w:p>
    <w:p>
      <w:pPr>
        <w:ind w:firstLine="31680"/>
      </w:pPr>
      <w:r>
        <w:rPr>
          <w:rFonts w:hint="eastAsia" w:cs="仿宋"/>
        </w:rPr>
        <w:t>北沙河属于太子河支流，在苏家屯区姚千镇入境，在苏家屯区红菱镇出境，境内河段长</w:t>
      </w:r>
      <w:r>
        <w:t>47.0</w:t>
      </w:r>
      <w:r>
        <w:rPr>
          <w:rFonts w:hint="eastAsia" w:cs="仿宋"/>
        </w:rPr>
        <w:t>千米。北沙河在沈阳市境内的主要支流河包括十里河、康家山河。</w:t>
      </w:r>
    </w:p>
    <w:p>
      <w:pPr>
        <w:ind w:firstLine="31680"/>
      </w:pPr>
      <w:r>
        <w:rPr>
          <w:rFonts w:hint="eastAsia" w:cs="仿宋"/>
        </w:rPr>
        <w:t>沈阳市环城水系主要有南运河、北运河、卫工河及沿途</w:t>
      </w:r>
      <w:r>
        <w:t>5</w:t>
      </w:r>
      <w:r>
        <w:rPr>
          <w:rFonts w:hint="eastAsia" w:cs="仿宋"/>
        </w:rPr>
        <w:t>个公园湖组成，全长</w:t>
      </w:r>
      <w:r>
        <w:t>50.9</w:t>
      </w:r>
      <w:r>
        <w:rPr>
          <w:rFonts w:hint="eastAsia" w:cs="仿宋"/>
        </w:rPr>
        <w:t>千米，水面面积</w:t>
      </w:r>
      <w:r>
        <w:t>104.1</w:t>
      </w:r>
      <w:r>
        <w:rPr>
          <w:rFonts w:hint="eastAsia" w:cs="仿宋"/>
        </w:rPr>
        <w:t>公顷。南、北运河引入浑河水，在大东区东塔桥进行分流，分为南、北两条运河。卫工河由卫工明渠引水闸引入北运河水。</w:t>
      </w:r>
    </w:p>
    <w:p>
      <w:pPr>
        <w:ind w:firstLine="31680"/>
      </w:pPr>
      <w:r>
        <w:rPr>
          <w:rFonts w:hint="eastAsia" w:cs="仿宋"/>
        </w:rPr>
        <w:t>沈阳市现有水库</w:t>
      </w:r>
      <w:r>
        <w:t>54</w:t>
      </w:r>
      <w:r>
        <w:rPr>
          <w:rFonts w:hint="eastAsia" w:cs="仿宋"/>
        </w:rPr>
        <w:t>座，总库容</w:t>
      </w:r>
      <w:r>
        <w:t>58152.44</w:t>
      </w:r>
      <w:r>
        <w:rPr>
          <w:rFonts w:hint="eastAsia" w:cs="仿宋"/>
        </w:rPr>
        <w:t>万立方米。其中，中型水库</w:t>
      </w:r>
      <w:r>
        <w:t>11</w:t>
      </w:r>
      <w:r>
        <w:rPr>
          <w:rFonts w:hint="eastAsia" w:cs="仿宋"/>
        </w:rPr>
        <w:t>座，库容</w:t>
      </w:r>
      <w:r>
        <w:t>50480.00</w:t>
      </w:r>
      <w:r>
        <w:rPr>
          <w:rFonts w:hint="eastAsia" w:cs="仿宋"/>
        </w:rPr>
        <w:t>万立方米：小（</w:t>
      </w:r>
      <w:r>
        <w:t>I</w:t>
      </w:r>
      <w:r>
        <w:rPr>
          <w:rFonts w:hint="eastAsia" w:cs="仿宋"/>
        </w:rPr>
        <w:t>）型水库</w:t>
      </w:r>
      <w:r>
        <w:t>16</w:t>
      </w:r>
      <w:r>
        <w:rPr>
          <w:rFonts w:hint="eastAsia" w:cs="仿宋"/>
        </w:rPr>
        <w:t>座，库容</w:t>
      </w:r>
      <w:r>
        <w:t>6912.04×10</w:t>
      </w:r>
      <w:r>
        <w:rPr>
          <w:vertAlign w:val="superscript"/>
        </w:rPr>
        <w:t>4</w:t>
      </w:r>
      <w:r>
        <w:rPr>
          <w:rFonts w:hint="eastAsia" w:cs="仿宋"/>
        </w:rPr>
        <w:t>立方米：（</w:t>
      </w:r>
      <w:r>
        <w:t>II</w:t>
      </w:r>
      <w:r>
        <w:rPr>
          <w:rFonts w:hint="eastAsia" w:cs="仿宋"/>
        </w:rPr>
        <w:t>）型水库</w:t>
      </w:r>
      <w:r>
        <w:t>27</w:t>
      </w:r>
      <w:r>
        <w:rPr>
          <w:rFonts w:hint="eastAsia" w:cs="仿宋"/>
        </w:rPr>
        <w:t>座，库容</w:t>
      </w:r>
      <w:r>
        <w:t>760.40</w:t>
      </w:r>
      <w:r>
        <w:rPr>
          <w:rFonts w:hint="eastAsia" w:cs="仿宋"/>
        </w:rPr>
        <w:t>万立方米。全市水库多数集调洪灌溉、水产养殖为一体，部分开发用于旅游和为工业、民用供水。</w:t>
      </w:r>
    </w:p>
    <w:p>
      <w:pPr>
        <w:pStyle w:val="4"/>
      </w:pPr>
      <w:r>
        <w:t>2.1.6</w:t>
      </w:r>
      <w:r>
        <w:rPr>
          <w:rFonts w:hint="eastAsia" w:cs="仿宋"/>
        </w:rPr>
        <w:t>土壤特征</w:t>
      </w:r>
    </w:p>
    <w:p>
      <w:pPr>
        <w:ind w:firstLine="31680"/>
      </w:pPr>
      <w:r>
        <w:rPr>
          <w:rFonts w:hint="eastAsia" w:cs="仿宋"/>
        </w:rPr>
        <w:t>沈阳市域土壤共有</w:t>
      </w:r>
      <w:r>
        <w:t>7</w:t>
      </w:r>
      <w:r>
        <w:rPr>
          <w:rFonts w:hint="eastAsia" w:cs="仿宋"/>
        </w:rPr>
        <w:t>类、</w:t>
      </w:r>
      <w:r>
        <w:t>17</w:t>
      </w:r>
      <w:r>
        <w:rPr>
          <w:rFonts w:hint="eastAsia" w:cs="仿宋"/>
        </w:rPr>
        <w:t>亚类、</w:t>
      </w:r>
      <w:r>
        <w:t>53</w:t>
      </w:r>
      <w:r>
        <w:rPr>
          <w:rFonts w:hint="eastAsia" w:cs="仿宋"/>
        </w:rPr>
        <w:t>属、</w:t>
      </w:r>
      <w:r>
        <w:t>143</w:t>
      </w:r>
      <w:r>
        <w:rPr>
          <w:rFonts w:hint="eastAsia" w:cs="仿宋"/>
        </w:rPr>
        <w:t>种。主要土类有棕壤土、草甸土、风沙土、沼泽土和水稻土。棕壤土分布在沈阳市的丘陵和高台地上，为沈阳的地带性土壤。草甸土是沈阳地区面积最大的土类，属非地带性土壤，主要分布在各河流高河漫滩、河阶地和广大的低平原上，地势平坦，为沈阳地区的主要耕型土类。风沙土是发育在风积物上的幼年土，分为固定沙丘风沙土和半固定山丘风沙土两个亚类。主要分布在康平县北部和新民市的柳绕平原以及沿河阶地上。水稻土是在腐泥沼泽图、草甸土、碳酸盐草甸土、潮棕壤的基础上经人工长期栽种水稻、在水耕条件下发育成的土壤，可分为潜育型水稻土、沼泽型水稻土和盐渍型水稻土。水稻土主要分布在各河流沿岸，是沈阳市域的主要耕型土壤。</w:t>
      </w:r>
    </w:p>
    <w:p>
      <w:pPr>
        <w:pStyle w:val="4"/>
      </w:pPr>
      <w:r>
        <w:t>2.1.7</w:t>
      </w:r>
      <w:r>
        <w:rPr>
          <w:rFonts w:hint="eastAsia" w:cs="仿宋"/>
        </w:rPr>
        <w:t>耕地质量</w:t>
      </w:r>
    </w:p>
    <w:p>
      <w:pPr>
        <w:ind w:firstLine="31680"/>
        <w:jc w:val="left"/>
      </w:pPr>
      <w:r>
        <w:rPr>
          <w:rFonts w:hint="eastAsia" w:cs="仿宋"/>
        </w:rPr>
        <w:t>依据综合气候、地质地貌、土壤、环境保护、水文、社会经济等因素，将耕地质量分成高、中、低产田。高产田主要分布在蒲河及浑河流域，多为水田菜田，地势平坦。两河沿岸土壤类型以水稻土和耕性壤质草甸土为主，多为轻壤土，土地深厚，农业生产集约化程度和土地生产率都位居全市之首。中产田主要分布在辽河东部和法库南部地区，现状以旱田为主、水田为辅。低产田主要分布在康平及法库北部和辽河以西区域，按照地貌类型划分，东部、北部及西部的乡镇处于剥蚀低山丘陵、波状岗台地和柳河冲洪积倾斜平原地貌。该地区土地部分存在风蚀和水蚀，土质养分含量低，农业生产受到比较严重的限制。</w:t>
      </w:r>
    </w:p>
    <w:p>
      <w:pPr>
        <w:pStyle w:val="4"/>
      </w:pPr>
      <w:r>
        <w:t>2.1.8</w:t>
      </w:r>
      <w:r>
        <w:rPr>
          <w:rFonts w:hint="eastAsia" w:cs="仿宋"/>
        </w:rPr>
        <w:t>植被覆盖</w:t>
      </w:r>
    </w:p>
    <w:p>
      <w:pPr>
        <w:ind w:firstLine="31680"/>
      </w:pPr>
      <w:r>
        <w:rPr>
          <w:rFonts w:hint="eastAsia" w:cs="仿宋"/>
        </w:rPr>
        <w:t>沈阳市处于长白植物区系、蒙古植物区系和华北植物区系交汇地带，植物种类较丰富，约有种子植物</w:t>
      </w:r>
      <w:r>
        <w:t>98</w:t>
      </w:r>
      <w:r>
        <w:rPr>
          <w:rFonts w:hint="eastAsia" w:cs="仿宋"/>
        </w:rPr>
        <w:t>科</w:t>
      </w:r>
      <w:r>
        <w:t>371</w:t>
      </w:r>
      <w:r>
        <w:rPr>
          <w:rFonts w:hint="eastAsia" w:cs="仿宋"/>
        </w:rPr>
        <w:t>属</w:t>
      </w:r>
      <w:r>
        <w:t>779</w:t>
      </w:r>
      <w:r>
        <w:rPr>
          <w:rFonts w:hint="eastAsia" w:cs="仿宋"/>
        </w:rPr>
        <w:t>种，最大科是菊科，共有植物</w:t>
      </w:r>
      <w:r>
        <w:t>85</w:t>
      </w:r>
      <w:r>
        <w:rPr>
          <w:rFonts w:hint="eastAsia" w:cs="仿宋"/>
        </w:rPr>
        <w:t>种。超过</w:t>
      </w:r>
      <w:r>
        <w:t>20</w:t>
      </w:r>
      <w:r>
        <w:rPr>
          <w:rFonts w:hint="eastAsia" w:cs="仿宋"/>
        </w:rPr>
        <w:t>种的科还有莎草科、蔷薇科、豆科、蓼科、唇形科、百合科及毛茛科等，这些科共有植物</w:t>
      </w:r>
      <w:r>
        <w:t>384</w:t>
      </w:r>
      <w:r>
        <w:rPr>
          <w:rFonts w:hint="eastAsia" w:cs="仿宋"/>
        </w:rPr>
        <w:t>种，占沈阳市区种子植物总数的</w:t>
      </w:r>
      <w:r>
        <w:t>49.3%</w:t>
      </w:r>
      <w:r>
        <w:rPr>
          <w:rFonts w:hint="eastAsia" w:cs="仿宋"/>
        </w:rPr>
        <w:t>。本区系有</w:t>
      </w:r>
      <w:r>
        <w:t>23</w:t>
      </w:r>
      <w:r>
        <w:rPr>
          <w:rFonts w:hint="eastAsia" w:cs="仿宋"/>
        </w:rPr>
        <w:t>个地理成分类型，其中以温带性质占优势，占沈阳市区地理成分的</w:t>
      </w:r>
      <w:r>
        <w:t>89.3%</w:t>
      </w:r>
      <w:r>
        <w:rPr>
          <w:rFonts w:hint="eastAsia" w:cs="仿宋"/>
        </w:rPr>
        <w:t>。根据植被发生和功能以及建群种的作用，沈阳市区城市植被划分为三大植被类</w:t>
      </w:r>
      <w:r>
        <w:t>14</w:t>
      </w:r>
      <w:r>
        <w:rPr>
          <w:rFonts w:hint="eastAsia" w:cs="仿宋"/>
        </w:rPr>
        <w:t>个植被组和</w:t>
      </w:r>
      <w:r>
        <w:t>57</w:t>
      </w:r>
      <w:r>
        <w:rPr>
          <w:rFonts w:hint="eastAsia" w:cs="仿宋"/>
        </w:rPr>
        <w:t>个植被型。</w:t>
      </w:r>
    </w:p>
    <w:p>
      <w:pPr>
        <w:pStyle w:val="3"/>
      </w:pPr>
      <w:bookmarkStart w:id="12" w:name="_Toc90558529"/>
      <w:r>
        <w:t>2.2</w:t>
      </w:r>
      <w:r>
        <w:rPr>
          <w:rFonts w:hint="eastAsia" w:cs="仿宋"/>
        </w:rPr>
        <w:t>社会经济概况</w:t>
      </w:r>
      <w:bookmarkEnd w:id="12"/>
    </w:p>
    <w:p>
      <w:pPr>
        <w:pStyle w:val="4"/>
      </w:pPr>
      <w:r>
        <w:t>2.2.1</w:t>
      </w:r>
      <w:r>
        <w:rPr>
          <w:rFonts w:hint="eastAsia" w:cs="仿宋"/>
        </w:rPr>
        <w:t>行政区划</w:t>
      </w:r>
    </w:p>
    <w:p>
      <w:pPr>
        <w:ind w:firstLine="31680"/>
      </w:pPr>
      <w:r>
        <w:rPr>
          <w:rFonts w:hint="eastAsia" w:cs="仿宋"/>
        </w:rPr>
        <w:t>沈阳市辖</w:t>
      </w:r>
      <w:r>
        <w:t>13</w:t>
      </w:r>
      <w:r>
        <w:rPr>
          <w:rFonts w:hint="eastAsia" w:cs="仿宋"/>
        </w:rPr>
        <w:t>个县级行政区，即和平、沈河、大东、皇姑、铁西、苏家屯、浑南、沈北、于洪、辽中</w:t>
      </w:r>
      <w:r>
        <w:t>10</w:t>
      </w:r>
      <w:r>
        <w:rPr>
          <w:rFonts w:hint="eastAsia" w:cs="仿宋"/>
        </w:rPr>
        <w:t>个市辖区，新民</w:t>
      </w:r>
      <w:r>
        <w:t>1</w:t>
      </w:r>
      <w:r>
        <w:rPr>
          <w:rFonts w:hint="eastAsia" w:cs="仿宋"/>
        </w:rPr>
        <w:t>个县级市，康平、法库</w:t>
      </w:r>
      <w:r>
        <w:t>2</w:t>
      </w:r>
      <w:r>
        <w:rPr>
          <w:rFonts w:hint="eastAsia" w:cs="仿宋"/>
        </w:rPr>
        <w:t>个县；下设</w:t>
      </w:r>
      <w:r>
        <w:t>181</w:t>
      </w:r>
      <w:r>
        <w:rPr>
          <w:rFonts w:hint="eastAsia" w:cs="仿宋"/>
        </w:rPr>
        <w:t>个乡级政区，即</w:t>
      </w:r>
      <w:r>
        <w:t>112</w:t>
      </w:r>
      <w:r>
        <w:rPr>
          <w:rFonts w:hint="eastAsia" w:cs="仿宋"/>
        </w:rPr>
        <w:t>个街道办事处、</w:t>
      </w:r>
      <w:r>
        <w:t>53</w:t>
      </w:r>
      <w:r>
        <w:rPr>
          <w:rFonts w:hint="eastAsia" w:cs="仿宋"/>
        </w:rPr>
        <w:t>个镇、</w:t>
      </w:r>
      <w:r>
        <w:t>16</w:t>
      </w:r>
      <w:r>
        <w:rPr>
          <w:rFonts w:hint="eastAsia" w:cs="仿宋"/>
        </w:rPr>
        <w:t>个乡。</w:t>
      </w:r>
    </w:p>
    <w:p>
      <w:pPr>
        <w:pStyle w:val="4"/>
      </w:pPr>
      <w:r>
        <w:t>2.2.2</w:t>
      </w:r>
      <w:r>
        <w:rPr>
          <w:rFonts w:hint="eastAsia" w:cs="仿宋"/>
        </w:rPr>
        <w:t>经济概况</w:t>
      </w:r>
    </w:p>
    <w:p>
      <w:pPr>
        <w:ind w:firstLine="31680"/>
      </w:pPr>
      <w:r>
        <w:t>2020</w:t>
      </w:r>
      <w:r>
        <w:rPr>
          <w:rFonts w:hint="eastAsia" w:cs="仿宋"/>
        </w:rPr>
        <w:t>年沈阳市地区生产总值（</w:t>
      </w:r>
      <w:r>
        <w:t>GDP</w:t>
      </w:r>
      <w:r>
        <w:rPr>
          <w:rFonts w:hint="eastAsia" w:cs="仿宋"/>
        </w:rPr>
        <w:t>）</w:t>
      </w:r>
      <w:r>
        <w:t>6571.6</w:t>
      </w:r>
      <w:r>
        <w:rPr>
          <w:rFonts w:hint="eastAsia" w:cs="仿宋"/>
        </w:rPr>
        <w:t>亿元，按可比价计算，比上年增长</w:t>
      </w:r>
      <w:r>
        <w:t>0.8%</w:t>
      </w:r>
      <w:r>
        <w:rPr>
          <w:rFonts w:hint="eastAsia" w:cs="仿宋"/>
        </w:rPr>
        <w:t>。其中，第一产业增加值</w:t>
      </w:r>
      <w:r>
        <w:t>303.6</w:t>
      </w:r>
      <w:r>
        <w:rPr>
          <w:rFonts w:hint="eastAsia" w:cs="仿宋"/>
        </w:rPr>
        <w:t>亿元，增长</w:t>
      </w:r>
      <w:r>
        <w:t>2.9%</w:t>
      </w:r>
      <w:r>
        <w:rPr>
          <w:rFonts w:hint="eastAsia" w:cs="仿宋"/>
        </w:rPr>
        <w:t>；第二产业增加值</w:t>
      </w:r>
      <w:r>
        <w:t>2160.4</w:t>
      </w:r>
      <w:r>
        <w:rPr>
          <w:rFonts w:hint="eastAsia" w:cs="仿宋"/>
        </w:rPr>
        <w:t>亿元，增长</w:t>
      </w:r>
      <w:r>
        <w:t>2.9%</w:t>
      </w:r>
      <w:r>
        <w:rPr>
          <w:rFonts w:hint="eastAsia" w:cs="仿宋"/>
        </w:rPr>
        <w:t>；第三产业增加值</w:t>
      </w:r>
      <w:r>
        <w:t>4107.6</w:t>
      </w:r>
      <w:r>
        <w:rPr>
          <w:rFonts w:hint="eastAsia" w:cs="仿宋"/>
        </w:rPr>
        <w:t>亿元，下降</w:t>
      </w:r>
      <w:r>
        <w:t>0.6%</w:t>
      </w:r>
      <w:r>
        <w:rPr>
          <w:rFonts w:hint="eastAsia" w:cs="仿宋"/>
        </w:rPr>
        <w:t>。</w:t>
      </w:r>
    </w:p>
    <w:p>
      <w:pPr>
        <w:pStyle w:val="4"/>
      </w:pPr>
      <w:r>
        <w:t>2.2.3</w:t>
      </w:r>
      <w:r>
        <w:rPr>
          <w:rFonts w:hint="eastAsia" w:cs="仿宋"/>
        </w:rPr>
        <w:t>人口分布</w:t>
      </w:r>
    </w:p>
    <w:p>
      <w:pPr>
        <w:ind w:firstLine="31680"/>
      </w:pPr>
      <w:r>
        <w:t>2020</w:t>
      </w:r>
      <w:r>
        <w:rPr>
          <w:rFonts w:hint="eastAsia" w:cs="仿宋"/>
        </w:rPr>
        <w:t>年末全市户籍人口</w:t>
      </w:r>
      <w:r>
        <w:t>762.2</w:t>
      </w:r>
      <w:r>
        <w:rPr>
          <w:rFonts w:hint="eastAsia" w:cs="仿宋"/>
        </w:rPr>
        <w:t>万人。其中，市区人口</w:t>
      </w:r>
      <w:r>
        <w:t>620.2</w:t>
      </w:r>
      <w:r>
        <w:rPr>
          <w:rFonts w:hint="eastAsia" w:cs="仿宋"/>
        </w:rPr>
        <w:t>万人，县（市）人口</w:t>
      </w:r>
      <w:r>
        <w:t>142.0</w:t>
      </w:r>
      <w:r>
        <w:rPr>
          <w:rFonts w:hint="eastAsia" w:cs="仿宋"/>
        </w:rPr>
        <w:t>万人；男性人口</w:t>
      </w:r>
      <w:r>
        <w:t>374.1</w:t>
      </w:r>
      <w:r>
        <w:rPr>
          <w:rFonts w:hint="eastAsia" w:cs="仿宋"/>
        </w:rPr>
        <w:t>万人，女性人口</w:t>
      </w:r>
      <w:r>
        <w:t>388.0</w:t>
      </w:r>
      <w:r>
        <w:rPr>
          <w:rFonts w:hint="eastAsia" w:cs="仿宋"/>
        </w:rPr>
        <w:t>万人。人口出生率</w:t>
      </w:r>
      <w:r>
        <w:t>6.68‰</w:t>
      </w:r>
      <w:r>
        <w:rPr>
          <w:rFonts w:hint="eastAsia" w:cs="仿宋"/>
        </w:rPr>
        <w:t>，比上年降低</w:t>
      </w:r>
      <w:r>
        <w:t>1.67</w:t>
      </w:r>
      <w:r>
        <w:rPr>
          <w:rFonts w:hint="eastAsia" w:cs="仿宋"/>
        </w:rPr>
        <w:t>个千分点，出生人口性别比</w:t>
      </w:r>
      <w:r>
        <w:t>107.1</w:t>
      </w:r>
      <w:r>
        <w:rPr>
          <w:rFonts w:hint="eastAsia" w:cs="仿宋"/>
        </w:rPr>
        <w:t>；人口死亡率</w:t>
      </w:r>
      <w:r>
        <w:t>10.02‰</w:t>
      </w:r>
      <w:r>
        <w:rPr>
          <w:rFonts w:hint="eastAsia" w:cs="仿宋"/>
        </w:rPr>
        <w:t>，提高</w:t>
      </w:r>
      <w:r>
        <w:t>1.71</w:t>
      </w:r>
      <w:r>
        <w:rPr>
          <w:rFonts w:hint="eastAsia" w:cs="仿宋"/>
        </w:rPr>
        <w:t>个千分点。人口自然增长率</w:t>
      </w:r>
      <w:r>
        <w:t>-3.34‰</w:t>
      </w:r>
      <w:r>
        <w:rPr>
          <w:rFonts w:hint="eastAsia" w:cs="仿宋"/>
        </w:rPr>
        <w:t>，降低</w:t>
      </w:r>
      <w:r>
        <w:t>3.38</w:t>
      </w:r>
      <w:r>
        <w:rPr>
          <w:rFonts w:hint="eastAsia" w:cs="仿宋"/>
        </w:rPr>
        <w:t>个千分点。</w:t>
      </w:r>
    </w:p>
    <w:p>
      <w:pPr>
        <w:pStyle w:val="4"/>
      </w:pPr>
      <w:r>
        <w:t>2.2.4</w:t>
      </w:r>
      <w:r>
        <w:rPr>
          <w:rFonts w:hint="eastAsia" w:cs="仿宋"/>
        </w:rPr>
        <w:t>土地利用特征</w:t>
      </w:r>
    </w:p>
    <w:p>
      <w:pPr>
        <w:ind w:firstLine="31680"/>
      </w:pPr>
      <w:bookmarkStart w:id="13" w:name="_Hlk82694682"/>
      <w:r>
        <w:rPr>
          <w:rFonts w:hint="eastAsia" w:cs="仿宋"/>
        </w:rPr>
        <w:t>依据《沈阳市</w:t>
      </w:r>
      <w:r>
        <w:t>2020</w:t>
      </w:r>
      <w:r>
        <w:rPr>
          <w:rFonts w:hint="eastAsia" w:cs="仿宋"/>
        </w:rPr>
        <w:t>年统计年鉴》，沈阳市农作物总播种面积</w:t>
      </w:r>
      <w:r>
        <w:t>680486</w:t>
      </w:r>
      <w:r>
        <w:rPr>
          <w:rFonts w:hint="eastAsia" w:cs="仿宋"/>
        </w:rPr>
        <w:t>公顷，其中，粮食作物合计</w:t>
      </w:r>
      <w:r>
        <w:t>545985</w:t>
      </w:r>
      <w:r>
        <w:rPr>
          <w:rFonts w:hint="eastAsia" w:cs="仿宋"/>
        </w:rPr>
        <w:t>公顷，油料作物</w:t>
      </w:r>
      <w:r>
        <w:t>32178</w:t>
      </w:r>
      <w:r>
        <w:rPr>
          <w:rFonts w:hint="eastAsia" w:cs="仿宋"/>
        </w:rPr>
        <w:t>公顷，药材类</w:t>
      </w:r>
      <w:r>
        <w:t>2029</w:t>
      </w:r>
      <w:r>
        <w:rPr>
          <w:rFonts w:hint="eastAsia" w:cs="仿宋"/>
        </w:rPr>
        <w:t>公顷，蔬菜及食用菌</w:t>
      </w:r>
      <w:r>
        <w:t>61907</w:t>
      </w:r>
      <w:r>
        <w:rPr>
          <w:rFonts w:hint="eastAsia" w:cs="仿宋"/>
        </w:rPr>
        <w:t>公顷，瓜果类</w:t>
      </w:r>
      <w:r>
        <w:t>14615</w:t>
      </w:r>
      <w:r>
        <w:rPr>
          <w:rFonts w:hint="eastAsia" w:cs="仿宋"/>
        </w:rPr>
        <w:t>公顷，其它农作物</w:t>
      </w:r>
      <w:r>
        <w:t>23772</w:t>
      </w:r>
      <w:r>
        <w:rPr>
          <w:rFonts w:hint="eastAsia" w:cs="仿宋"/>
        </w:rPr>
        <w:t>公顷；年末果园面积</w:t>
      </w:r>
      <w:r>
        <w:t>21819</w:t>
      </w:r>
      <w:r>
        <w:rPr>
          <w:rFonts w:hint="eastAsia" w:cs="仿宋"/>
        </w:rPr>
        <w:t>公顷；林地</w:t>
      </w:r>
      <w:r>
        <w:t>220746</w:t>
      </w:r>
      <w:r>
        <w:rPr>
          <w:rFonts w:hint="eastAsia" w:cs="仿宋"/>
        </w:rPr>
        <w:t>公顷。</w:t>
      </w:r>
    </w:p>
    <w:bookmarkEnd w:id="13"/>
    <w:p>
      <w:pPr>
        <w:pStyle w:val="5"/>
        <w:spacing w:before="190"/>
      </w:pPr>
      <w:r>
        <w:rPr>
          <w:rFonts w:hint="eastAsia" w:cs="仿宋"/>
        </w:rPr>
        <w:t>表</w:t>
      </w:r>
      <w:r>
        <w:t xml:space="preserve">2-1 </w:t>
      </w:r>
      <w:r>
        <w:rPr>
          <w:rFonts w:hint="eastAsia" w:cs="仿宋"/>
        </w:rPr>
        <w:t>各区农林土地利用面积统计</w:t>
      </w:r>
      <w:bookmarkStart w:id="14" w:name="_Hlk76561112"/>
      <w:r>
        <w:rPr>
          <w:rFonts w:hint="eastAsia" w:cs="仿宋"/>
        </w:rPr>
        <w:t>（单位：公顷）</w:t>
      </w:r>
    </w:p>
    <w:bookmarkEnd w:id="14"/>
    <w:tbl>
      <w:tblPr>
        <w:tblStyle w:val="20"/>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2411"/>
        <w:gridCol w:w="2198"/>
        <w:gridCol w:w="2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区域</w:t>
            </w:r>
          </w:p>
        </w:tc>
        <w:tc>
          <w:tcPr>
            <w:tcW w:w="1414" w:type="pct"/>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农作物总播种面积</w:t>
            </w:r>
          </w:p>
        </w:tc>
        <w:tc>
          <w:tcPr>
            <w:tcW w:w="1289" w:type="pct"/>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年末果园面积</w:t>
            </w:r>
          </w:p>
        </w:tc>
        <w:tc>
          <w:tcPr>
            <w:tcW w:w="1319" w:type="pct"/>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沈阳市</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680486</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21819</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220746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苏家屯区</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40692</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2518</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10825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浑南区</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24049</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2316</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16010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沈北新区</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38582</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849</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于洪区</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23029</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459</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辽中区</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94940</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3197</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14205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康平县</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103057</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3578</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68199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法库县</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135261</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3481</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51271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78"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新民市</w:t>
            </w:r>
          </w:p>
        </w:tc>
        <w:tc>
          <w:tcPr>
            <w:tcW w:w="1414"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203052</w:t>
            </w:r>
          </w:p>
        </w:tc>
        <w:tc>
          <w:tcPr>
            <w:tcW w:w="128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4981</w:t>
            </w:r>
          </w:p>
        </w:tc>
        <w:tc>
          <w:tcPr>
            <w:tcW w:w="1319"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50747</w:t>
            </w:r>
          </w:p>
        </w:tc>
      </w:tr>
    </w:tbl>
    <w:p>
      <w:pPr>
        <w:ind w:firstLine="31680"/>
      </w:pPr>
    </w:p>
    <w:p>
      <w:pPr>
        <w:pStyle w:val="5"/>
        <w:spacing w:before="190"/>
      </w:pPr>
      <w:r>
        <w:rPr>
          <w:rFonts w:hint="eastAsia" w:cs="仿宋"/>
        </w:rPr>
        <w:t>表</w:t>
      </w:r>
      <w:r>
        <w:t xml:space="preserve">2-2 </w:t>
      </w:r>
      <w:r>
        <w:rPr>
          <w:rFonts w:hint="eastAsia" w:cs="仿宋"/>
        </w:rPr>
        <w:t>沈阳市农作物类型及面积占比（单位：公顷）</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947"/>
        <w:gridCol w:w="828"/>
        <w:gridCol w:w="829"/>
        <w:gridCol w:w="829"/>
        <w:gridCol w:w="829"/>
        <w:gridCol w:w="829"/>
        <w:gridCol w:w="829"/>
        <w:gridCol w:w="948"/>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区域</w:t>
            </w:r>
          </w:p>
        </w:tc>
        <w:tc>
          <w:tcPr>
            <w:tcW w:w="55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沈阳市</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苏家屯区</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浑南区</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沈北新区</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于洪区</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辽中区</w:t>
            </w:r>
          </w:p>
        </w:tc>
        <w:tc>
          <w:tcPr>
            <w:tcW w:w="48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康平县</w:t>
            </w:r>
          </w:p>
        </w:tc>
        <w:tc>
          <w:tcPr>
            <w:tcW w:w="55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法库县</w:t>
            </w:r>
          </w:p>
        </w:tc>
        <w:tc>
          <w:tcPr>
            <w:tcW w:w="556" w:type="pct"/>
            <w:vAlign w:val="center"/>
          </w:tcPr>
          <w:p>
            <w:pPr>
              <w:widowControl/>
              <w:adjustRightInd w:val="0"/>
              <w:snapToGrid w:val="0"/>
              <w:spacing w:line="240" w:lineRule="auto"/>
              <w:ind w:firstLine="0" w:firstLineChars="0"/>
              <w:jc w:val="center"/>
              <w:rPr>
                <w:b/>
                <w:bCs/>
                <w:kern w:val="0"/>
                <w:sz w:val="22"/>
                <w:szCs w:val="22"/>
              </w:rPr>
            </w:pPr>
            <w:r>
              <w:rPr>
                <w:rFonts w:hint="eastAsia" w:cs="仿宋"/>
                <w:b/>
                <w:bCs/>
                <w:kern w:val="0"/>
                <w:sz w:val="22"/>
                <w:szCs w:val="22"/>
              </w:rPr>
              <w:t>新民市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谷物</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516013</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35292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20687</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26362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19696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72763</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72131</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100701</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154626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豆类</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11445</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433</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826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371</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221</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901</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4723</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2470</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薯类</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18527</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134</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386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850</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385</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4026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4958</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2654</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油料</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32178</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166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389</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245</w:t>
            </w:r>
          </w:p>
        </w:tc>
        <w:tc>
          <w:tcPr>
            <w:tcW w:w="486" w:type="pct"/>
            <w:vAlign w:val="center"/>
          </w:tcPr>
          <w:p>
            <w:pPr>
              <w:widowControl/>
              <w:adjustRightInd w:val="0"/>
              <w:snapToGrid w:val="0"/>
              <w:spacing w:line="240" w:lineRule="auto"/>
              <w:ind w:firstLine="0" w:firstLineChars="0"/>
              <w:jc w:val="center"/>
              <w:rPr>
                <w:kern w:val="0"/>
                <w:sz w:val="22"/>
                <w:szCs w:val="22"/>
              </w:rPr>
            </w:pP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5553</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12993</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9429</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2847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药材</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2029</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1196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134</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68</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45</w:t>
            </w:r>
          </w:p>
        </w:tc>
        <w:tc>
          <w:tcPr>
            <w:tcW w:w="486" w:type="pct"/>
            <w:vAlign w:val="center"/>
          </w:tcPr>
          <w:p>
            <w:pPr>
              <w:widowControl/>
              <w:adjustRightInd w:val="0"/>
              <w:snapToGrid w:val="0"/>
              <w:spacing w:line="240" w:lineRule="auto"/>
              <w:ind w:firstLine="0" w:firstLineChars="0"/>
              <w:jc w:val="center"/>
              <w:rPr>
                <w:kern w:val="0"/>
                <w:sz w:val="22"/>
                <w:szCs w:val="22"/>
              </w:rPr>
            </w:pP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534</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蔬菜</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61907</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4206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519</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2363</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2476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10050</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5417</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7016</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26908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瓜果</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14615</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406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46</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111</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1460</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608</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272</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pPr>
              <w:widowControl/>
              <w:adjustRightInd w:val="0"/>
              <w:snapToGrid w:val="0"/>
              <w:spacing w:line="240" w:lineRule="auto"/>
              <w:ind w:firstLine="0" w:firstLineChars="0"/>
              <w:jc w:val="center"/>
              <w:rPr>
                <w:kern w:val="0"/>
                <w:sz w:val="22"/>
                <w:szCs w:val="22"/>
              </w:rPr>
            </w:pPr>
            <w:r>
              <w:rPr>
                <w:rFonts w:hint="eastAsia" w:cs="仿宋"/>
                <w:kern w:val="0"/>
                <w:sz w:val="22"/>
                <w:szCs w:val="22"/>
              </w:rPr>
              <w:t>其他</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23772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55</w:t>
            </w:r>
          </w:p>
        </w:tc>
        <w:tc>
          <w:tcPr>
            <w:tcW w:w="486" w:type="pct"/>
            <w:vAlign w:val="center"/>
          </w:tcPr>
          <w:p>
            <w:pPr>
              <w:widowControl/>
              <w:adjustRightInd w:val="0"/>
              <w:snapToGrid w:val="0"/>
              <w:spacing w:line="240" w:lineRule="auto"/>
              <w:ind w:firstLine="0" w:firstLineChars="0"/>
              <w:jc w:val="center"/>
              <w:rPr>
                <w:kern w:val="0"/>
                <w:sz w:val="22"/>
                <w:szCs w:val="22"/>
              </w:rPr>
            </w:pP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8194</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72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142</w:t>
            </w:r>
          </w:p>
        </w:tc>
        <w:tc>
          <w:tcPr>
            <w:tcW w:w="48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2227</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12186</w:t>
            </w:r>
          </w:p>
        </w:tc>
        <w:tc>
          <w:tcPr>
            <w:tcW w:w="556" w:type="pct"/>
            <w:vAlign w:val="center"/>
          </w:tcPr>
          <w:p>
            <w:pPr>
              <w:widowControl/>
              <w:adjustRightInd w:val="0"/>
              <w:snapToGrid w:val="0"/>
              <w:spacing w:line="240" w:lineRule="auto"/>
              <w:ind w:firstLine="0" w:firstLineChars="0"/>
              <w:jc w:val="center"/>
              <w:rPr>
                <w:kern w:val="0"/>
                <w:sz w:val="22"/>
                <w:szCs w:val="22"/>
              </w:rPr>
            </w:pPr>
            <w:r>
              <w:rPr>
                <w:kern w:val="0"/>
                <w:sz w:val="22"/>
                <w:szCs w:val="22"/>
              </w:rPr>
              <w:t>896</w:t>
            </w:r>
          </w:p>
        </w:tc>
      </w:tr>
    </w:tbl>
    <w:p>
      <w:pPr>
        <w:ind w:firstLine="31680"/>
      </w:pPr>
      <w:r>
        <w:rPr>
          <w:rFonts w:hint="eastAsia" w:cs="仿宋"/>
        </w:rPr>
        <w:t>依据《沈阳市人民政府办公厅关于印发沈阳市推进种植业生产核心区发展三年实施方案</w:t>
      </w:r>
      <w:r>
        <w:t>(2018-2020</w:t>
      </w:r>
      <w:r>
        <w:rPr>
          <w:rFonts w:hint="eastAsia" w:cs="仿宋"/>
        </w:rPr>
        <w:t>年</w:t>
      </w:r>
      <w:r>
        <w:t>)</w:t>
      </w:r>
      <w:r>
        <w:rPr>
          <w:rFonts w:hint="eastAsia" w:cs="仿宋"/>
        </w:rPr>
        <w:t>的通知》和《沈阳市国民经济和社会发展第十四个五年规划和</w:t>
      </w:r>
      <w:r>
        <w:t>2035</w:t>
      </w:r>
      <w:r>
        <w:rPr>
          <w:rFonts w:hint="eastAsia" w:cs="仿宋"/>
        </w:rPr>
        <w:t>年远景目标纲要》，我市已初步形成以新民市、辽中区、法库县、康平县等产粮大县为重点区域粮食生产核心区，包括玉米生产核心区和水稻生产核心区。玉米生产核心区包含</w:t>
      </w:r>
      <w:r>
        <w:t>36</w:t>
      </w:r>
      <w:r>
        <w:rPr>
          <w:rFonts w:hint="eastAsia" w:cs="仿宋"/>
        </w:rPr>
        <w:t>个乡镇，面积</w:t>
      </w:r>
      <w:r>
        <w:t>250</w:t>
      </w:r>
      <w:r>
        <w:rPr>
          <w:rFonts w:hint="eastAsia" w:cs="仿宋"/>
        </w:rPr>
        <w:t>万亩。主要分布在辽河和柳河以北的康平县东南部、法库县大部和新民市北部的</w:t>
      </w:r>
      <w:r>
        <w:t>27</w:t>
      </w:r>
      <w:r>
        <w:rPr>
          <w:rFonts w:hint="eastAsia" w:cs="仿宋"/>
        </w:rPr>
        <w:t>个乡镇，次区域位于新民市和辽中区的西部交界处，包含</w:t>
      </w:r>
      <w:r>
        <w:t>6</w:t>
      </w:r>
      <w:r>
        <w:rPr>
          <w:rFonts w:hint="eastAsia" w:cs="仿宋"/>
        </w:rPr>
        <w:t>个乡镇，最小区域位于辽中区南部的朱家房、于家房和肖寨门镇。水稻生产核心区包含</w:t>
      </w:r>
      <w:r>
        <w:t>32</w:t>
      </w:r>
      <w:r>
        <w:rPr>
          <w:rFonts w:hint="eastAsia" w:cs="仿宋"/>
        </w:rPr>
        <w:t>个乡镇，面积</w:t>
      </w:r>
      <w:r>
        <w:t>130</w:t>
      </w:r>
      <w:r>
        <w:rPr>
          <w:rFonts w:hint="eastAsia" w:cs="仿宋"/>
        </w:rPr>
        <w:t>万亩。主要集中在沈北新区、于洪区、新民市、辽中区的辽河和蒲河流域的</w:t>
      </w:r>
      <w:r>
        <w:t>29</w:t>
      </w:r>
      <w:r>
        <w:rPr>
          <w:rFonts w:hint="eastAsia" w:cs="仿宋"/>
        </w:rPr>
        <w:t>个乡镇，次区域位于苏家屯区西部浑河流域的</w:t>
      </w:r>
      <w:r>
        <w:t>3</w:t>
      </w:r>
      <w:r>
        <w:rPr>
          <w:rFonts w:hint="eastAsia" w:cs="仿宋"/>
        </w:rPr>
        <w:t>个街道。以新民市、辽中区等蔬菜主产区为主要区域的蔬菜生产核心区，共</w:t>
      </w:r>
      <w:r>
        <w:t>18</w:t>
      </w:r>
      <w:r>
        <w:rPr>
          <w:rFonts w:hint="eastAsia" w:cs="仿宋"/>
        </w:rPr>
        <w:t>个乡镇，主要分布在新民市和辽中区的辽河和蒲河之间的区域，重点有新民市大民屯等</w:t>
      </w:r>
      <w:r>
        <w:t>17</w:t>
      </w:r>
      <w:r>
        <w:rPr>
          <w:rFonts w:hint="eastAsia" w:cs="仿宋"/>
        </w:rPr>
        <w:t>个乡镇；次区域位于法库县孟家镇。以康平县、法库县西北部地区和新民市柳河流域风沙区为重点的特色作物生产核心区，共含康平海洲等</w:t>
      </w:r>
      <w:r>
        <w:t>47</w:t>
      </w:r>
      <w:r>
        <w:rPr>
          <w:rFonts w:hint="eastAsia" w:cs="仿宋"/>
        </w:rPr>
        <w:t>个乡镇。</w:t>
      </w:r>
    </w:p>
    <w:p>
      <w:pPr>
        <w:pStyle w:val="3"/>
      </w:pPr>
      <w:bookmarkStart w:id="15" w:name="_Toc90558530"/>
      <w:r>
        <w:t>2.3</w:t>
      </w:r>
      <w:r>
        <w:rPr>
          <w:rFonts w:hint="eastAsia" w:cs="仿宋"/>
        </w:rPr>
        <w:t>生态环境概况</w:t>
      </w:r>
      <w:bookmarkEnd w:id="15"/>
    </w:p>
    <w:p>
      <w:pPr>
        <w:pStyle w:val="4"/>
      </w:pPr>
      <w:r>
        <w:t>2.3.1</w:t>
      </w:r>
      <w:r>
        <w:rPr>
          <w:rFonts w:hint="eastAsia" w:cs="仿宋"/>
        </w:rPr>
        <w:t>环境功能区划</w:t>
      </w:r>
    </w:p>
    <w:p>
      <w:pPr>
        <w:ind w:firstLine="31680"/>
      </w:pPr>
      <w:r>
        <w:rPr>
          <w:rFonts w:hint="eastAsia" w:cs="仿宋"/>
        </w:rPr>
        <w:t>（</w:t>
      </w:r>
      <w:r>
        <w:t>1</w:t>
      </w:r>
      <w:r>
        <w:rPr>
          <w:rFonts w:hint="eastAsia" w:cs="仿宋"/>
        </w:rPr>
        <w:t>）环境空气质量功能区划</w:t>
      </w:r>
    </w:p>
    <w:p>
      <w:pPr>
        <w:ind w:firstLine="31680"/>
      </w:pPr>
      <w:r>
        <w:rPr>
          <w:rFonts w:hint="eastAsia" w:cs="仿宋"/>
        </w:rPr>
        <w:t>综合《沈阳市人民政府关于同意沈阳市环境空气质量功能区管理意见的批复》（沈政〔</w:t>
      </w:r>
      <w:r>
        <w:t>2000</w:t>
      </w:r>
      <w:r>
        <w:rPr>
          <w:rFonts w:hint="eastAsia" w:cs="仿宋"/>
        </w:rPr>
        <w:t>〕</w:t>
      </w:r>
      <w:r>
        <w:t>15</w:t>
      </w:r>
      <w:r>
        <w:rPr>
          <w:rFonts w:hint="eastAsia" w:cs="仿宋"/>
        </w:rPr>
        <w:t>号）和《环境空气质量标准》（</w:t>
      </w:r>
      <w:r>
        <w:t>GB3095-2012</w:t>
      </w:r>
      <w:r>
        <w:rPr>
          <w:rFonts w:hint="eastAsia" w:cs="仿宋"/>
        </w:rPr>
        <w:t>）要求，一类区共</w:t>
      </w:r>
      <w:r>
        <w:t>10</w:t>
      </w:r>
      <w:r>
        <w:rPr>
          <w:rFonts w:hint="eastAsia" w:cs="仿宋"/>
        </w:rPr>
        <w:t>块，总面积</w:t>
      </w:r>
      <w:r>
        <w:t>410</w:t>
      </w:r>
      <w:r>
        <w:rPr>
          <w:rFonts w:hint="eastAsia" w:cs="仿宋"/>
        </w:rPr>
        <w:t>平方千米，缓冲带面积</w:t>
      </w:r>
      <w:r>
        <w:t>119.25</w:t>
      </w:r>
      <w:r>
        <w:rPr>
          <w:rFonts w:hint="eastAsia" w:cs="仿宋"/>
        </w:rPr>
        <w:t>平方千米，合计执行一类环境空气质量标准的面积共</w:t>
      </w:r>
      <w:r>
        <w:t>529.25</w:t>
      </w:r>
      <w:r>
        <w:rPr>
          <w:rFonts w:hint="eastAsia" w:cs="仿宋"/>
        </w:rPr>
        <w:t>平方千米，占全市总面积的</w:t>
      </w:r>
      <w:r>
        <w:t>4.11%</w:t>
      </w:r>
      <w:r>
        <w:rPr>
          <w:rFonts w:hint="eastAsia" w:cs="仿宋"/>
        </w:rPr>
        <w:t>；其他区域全部为二类区。</w:t>
      </w:r>
    </w:p>
    <w:p>
      <w:pPr>
        <w:pStyle w:val="5"/>
        <w:spacing w:before="190"/>
      </w:pPr>
      <w:r>
        <w:rPr>
          <w:rFonts w:hint="eastAsia" w:cs="仿宋"/>
        </w:rPr>
        <w:t>表</w:t>
      </w:r>
      <w:r>
        <w:t xml:space="preserve">2-3 </w:t>
      </w:r>
      <w:r>
        <w:rPr>
          <w:rFonts w:hint="eastAsia" w:cs="仿宋"/>
        </w:rPr>
        <w:t>一类区基本情况表</w:t>
      </w:r>
    </w:p>
    <w:tbl>
      <w:tblPr>
        <w:tblStyle w:val="20"/>
        <w:tblW w:w="5000" w:type="pct"/>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1092"/>
        <w:gridCol w:w="1531"/>
        <w:gridCol w:w="2981"/>
        <w:gridCol w:w="2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4" w:type="dxa"/>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序号</w:t>
            </w:r>
          </w:p>
        </w:tc>
        <w:tc>
          <w:tcPr>
            <w:tcW w:w="1063" w:type="dxa"/>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名称</w:t>
            </w:r>
          </w:p>
        </w:tc>
        <w:tc>
          <w:tcPr>
            <w:tcW w:w="1490" w:type="dxa"/>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位置</w:t>
            </w:r>
          </w:p>
        </w:tc>
        <w:tc>
          <w:tcPr>
            <w:tcW w:w="2902" w:type="dxa"/>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范围</w:t>
            </w:r>
          </w:p>
        </w:tc>
        <w:tc>
          <w:tcPr>
            <w:tcW w:w="2137" w:type="dxa"/>
            <w:vAlign w:val="center"/>
          </w:tcPr>
          <w:p>
            <w:pPr>
              <w:widowControl/>
              <w:adjustRightInd w:val="0"/>
              <w:snapToGrid w:val="0"/>
              <w:spacing w:line="240" w:lineRule="auto"/>
              <w:ind w:firstLine="0" w:firstLineChars="0"/>
              <w:jc w:val="center"/>
              <w:rPr>
                <w:b/>
                <w:bCs/>
                <w:kern w:val="0"/>
                <w:sz w:val="24"/>
                <w:szCs w:val="24"/>
              </w:rPr>
            </w:pPr>
            <w:r>
              <w:rPr>
                <w:rFonts w:hint="eastAsia" w:cs="仿宋"/>
                <w:b/>
                <w:bCs/>
                <w:kern w:val="0"/>
                <w:sz w:val="24"/>
                <w:szCs w:val="24"/>
              </w:rPr>
              <w:t>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1</w:t>
            </w:r>
          </w:p>
        </w:tc>
        <w:tc>
          <w:tcPr>
            <w:tcW w:w="1063" w:type="dxa"/>
            <w:vAlign w:val="center"/>
          </w:tcPr>
          <w:p>
            <w:pPr>
              <w:spacing w:line="280" w:lineRule="exact"/>
              <w:ind w:firstLine="0" w:firstLineChars="0"/>
              <w:jc w:val="center"/>
              <w:rPr>
                <w:sz w:val="21"/>
                <w:szCs w:val="21"/>
              </w:rPr>
            </w:pPr>
            <w:r>
              <w:rPr>
                <w:rFonts w:hint="eastAsia" w:cs="仿宋"/>
                <w:sz w:val="21"/>
                <w:szCs w:val="21"/>
              </w:rPr>
              <w:t>辉山地区</w:t>
            </w:r>
          </w:p>
        </w:tc>
        <w:tc>
          <w:tcPr>
            <w:tcW w:w="1490" w:type="dxa"/>
            <w:vAlign w:val="center"/>
          </w:tcPr>
          <w:p>
            <w:pPr>
              <w:spacing w:line="280" w:lineRule="exact"/>
              <w:ind w:firstLine="0" w:firstLineChars="0"/>
              <w:jc w:val="center"/>
              <w:rPr>
                <w:sz w:val="21"/>
                <w:szCs w:val="21"/>
              </w:rPr>
            </w:pPr>
            <w:r>
              <w:rPr>
                <w:rFonts w:hint="eastAsia" w:cs="仿宋"/>
                <w:sz w:val="21"/>
                <w:szCs w:val="21"/>
              </w:rPr>
              <w:t>沈阳市区东北部属东陵区范围内，距市中心</w:t>
            </w:r>
            <w:r>
              <w:rPr>
                <w:sz w:val="21"/>
                <w:szCs w:val="21"/>
              </w:rPr>
              <w:t>17</w:t>
            </w:r>
            <w:r>
              <w:rPr>
                <w:rFonts w:hint="eastAsia" w:cs="仿宋"/>
                <w:sz w:val="21"/>
                <w:szCs w:val="21"/>
              </w:rPr>
              <w:t>千米。</w:t>
            </w:r>
          </w:p>
        </w:tc>
        <w:tc>
          <w:tcPr>
            <w:tcW w:w="2902" w:type="dxa"/>
            <w:vAlign w:val="center"/>
          </w:tcPr>
          <w:p>
            <w:pPr>
              <w:spacing w:line="280" w:lineRule="exact"/>
              <w:ind w:firstLine="0" w:firstLineChars="0"/>
              <w:jc w:val="center"/>
              <w:rPr>
                <w:sz w:val="21"/>
                <w:szCs w:val="21"/>
              </w:rPr>
            </w:pPr>
            <w:r>
              <w:rPr>
                <w:rFonts w:hint="eastAsia" w:cs="仿宋"/>
                <w:sz w:val="21"/>
                <w:szCs w:val="21"/>
              </w:rPr>
              <w:t>东为抚顺交界线至大夫屯并连接满堂乡与植物园，西至沈哈公路连接三环路，南临浑河，北到石人山。</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115</w:t>
            </w:r>
            <w:r>
              <w:rPr>
                <w:rFonts w:hint="eastAsia" w:cs="仿宋"/>
                <w:sz w:val="21"/>
                <w:szCs w:val="21"/>
              </w:rPr>
              <w:t>平方千米，缓冲地带面积：</w:t>
            </w:r>
            <w:r>
              <w:rPr>
                <w:sz w:val="21"/>
                <w:szCs w:val="21"/>
              </w:rPr>
              <w:t>34</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2</w:t>
            </w:r>
          </w:p>
        </w:tc>
        <w:tc>
          <w:tcPr>
            <w:tcW w:w="1063" w:type="dxa"/>
            <w:vAlign w:val="center"/>
          </w:tcPr>
          <w:p>
            <w:pPr>
              <w:spacing w:line="280" w:lineRule="exact"/>
              <w:ind w:firstLine="0" w:firstLineChars="0"/>
              <w:jc w:val="center"/>
              <w:rPr>
                <w:sz w:val="21"/>
                <w:szCs w:val="21"/>
              </w:rPr>
            </w:pPr>
            <w:r>
              <w:rPr>
                <w:rFonts w:hint="eastAsia" w:cs="仿宋"/>
                <w:sz w:val="21"/>
                <w:szCs w:val="21"/>
              </w:rPr>
              <w:t>陨石山地区</w:t>
            </w:r>
          </w:p>
        </w:tc>
        <w:tc>
          <w:tcPr>
            <w:tcW w:w="1490" w:type="dxa"/>
            <w:vAlign w:val="center"/>
          </w:tcPr>
          <w:p>
            <w:pPr>
              <w:spacing w:line="280" w:lineRule="exact"/>
              <w:ind w:firstLine="0" w:firstLineChars="0"/>
              <w:jc w:val="center"/>
              <w:rPr>
                <w:sz w:val="21"/>
                <w:szCs w:val="21"/>
              </w:rPr>
            </w:pPr>
            <w:r>
              <w:rPr>
                <w:rFonts w:hint="eastAsia" w:cs="仿宋"/>
                <w:sz w:val="21"/>
                <w:szCs w:val="21"/>
              </w:rPr>
              <w:t>沈阳市区东南部</w:t>
            </w:r>
          </w:p>
        </w:tc>
        <w:tc>
          <w:tcPr>
            <w:tcW w:w="2902" w:type="dxa"/>
            <w:vAlign w:val="center"/>
          </w:tcPr>
          <w:p>
            <w:pPr>
              <w:spacing w:line="280" w:lineRule="exact"/>
              <w:ind w:firstLine="0" w:firstLineChars="0"/>
              <w:jc w:val="center"/>
              <w:rPr>
                <w:sz w:val="21"/>
                <w:szCs w:val="21"/>
              </w:rPr>
            </w:pPr>
            <w:r>
              <w:rPr>
                <w:rFonts w:hint="eastAsia" w:cs="仿宋"/>
                <w:sz w:val="21"/>
                <w:szCs w:val="21"/>
              </w:rPr>
              <w:t>东至白清寨，西至佟沟乡，南至苏家屯姚千户屯，北至东陵区李相乡</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 xml:space="preserve">110 </w:t>
            </w:r>
            <w:r>
              <w:rPr>
                <w:rFonts w:hint="eastAsia" w:cs="仿宋"/>
                <w:sz w:val="21"/>
                <w:szCs w:val="21"/>
              </w:rPr>
              <w:t>平方千米。缓冲带面积：</w:t>
            </w:r>
            <w:r>
              <w:rPr>
                <w:sz w:val="21"/>
                <w:szCs w:val="21"/>
              </w:rPr>
              <w:t>40</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3</w:t>
            </w:r>
          </w:p>
        </w:tc>
        <w:tc>
          <w:tcPr>
            <w:tcW w:w="1063" w:type="dxa"/>
            <w:vAlign w:val="center"/>
          </w:tcPr>
          <w:p>
            <w:pPr>
              <w:spacing w:line="280" w:lineRule="exact"/>
              <w:ind w:firstLine="0" w:firstLineChars="0"/>
              <w:jc w:val="center"/>
              <w:rPr>
                <w:sz w:val="21"/>
                <w:szCs w:val="21"/>
              </w:rPr>
            </w:pPr>
            <w:r>
              <w:rPr>
                <w:rFonts w:hint="eastAsia" w:cs="仿宋"/>
                <w:sz w:val="21"/>
                <w:szCs w:val="21"/>
              </w:rPr>
              <w:t>怪坡地区</w:t>
            </w:r>
          </w:p>
        </w:tc>
        <w:tc>
          <w:tcPr>
            <w:tcW w:w="1490" w:type="dxa"/>
            <w:vAlign w:val="center"/>
          </w:tcPr>
          <w:p>
            <w:pPr>
              <w:spacing w:line="280" w:lineRule="exact"/>
              <w:ind w:firstLine="0" w:firstLineChars="0"/>
              <w:jc w:val="center"/>
              <w:rPr>
                <w:sz w:val="21"/>
                <w:szCs w:val="21"/>
              </w:rPr>
            </w:pPr>
            <w:r>
              <w:rPr>
                <w:rFonts w:hint="eastAsia" w:cs="仿宋"/>
                <w:sz w:val="21"/>
                <w:szCs w:val="21"/>
              </w:rPr>
              <w:t>新城子区清水镇</w:t>
            </w:r>
          </w:p>
        </w:tc>
        <w:tc>
          <w:tcPr>
            <w:tcW w:w="2902" w:type="dxa"/>
            <w:vAlign w:val="center"/>
          </w:tcPr>
          <w:p>
            <w:pPr>
              <w:spacing w:line="280" w:lineRule="exact"/>
              <w:ind w:firstLine="0" w:firstLineChars="0"/>
              <w:jc w:val="center"/>
              <w:rPr>
                <w:sz w:val="21"/>
                <w:szCs w:val="21"/>
              </w:rPr>
            </w:pPr>
            <w:r>
              <w:rPr>
                <w:rFonts w:hint="eastAsia" w:cs="仿宋"/>
                <w:sz w:val="21"/>
                <w:szCs w:val="21"/>
              </w:rPr>
              <w:t>东至帽山，西邻</w:t>
            </w:r>
            <w:r>
              <w:rPr>
                <w:sz w:val="21"/>
                <w:szCs w:val="21"/>
              </w:rPr>
              <w:t>102</w:t>
            </w:r>
            <w:r>
              <w:rPr>
                <w:rFonts w:hint="eastAsia" w:cs="仿宋"/>
                <w:sz w:val="21"/>
                <w:szCs w:val="21"/>
              </w:rPr>
              <w:t>国道，南至帽山水库，北依路南山</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8</w:t>
            </w:r>
            <w:r>
              <w:rPr>
                <w:rFonts w:hint="eastAsia" w:cs="仿宋"/>
                <w:sz w:val="21"/>
                <w:szCs w:val="21"/>
              </w:rPr>
              <w:t>平方千米。缓冲带面积：</w:t>
            </w:r>
            <w:r>
              <w:rPr>
                <w:sz w:val="21"/>
                <w:szCs w:val="21"/>
              </w:rPr>
              <w:t>2.0</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4</w:t>
            </w:r>
          </w:p>
        </w:tc>
        <w:tc>
          <w:tcPr>
            <w:tcW w:w="1063" w:type="dxa"/>
            <w:vAlign w:val="center"/>
          </w:tcPr>
          <w:p>
            <w:pPr>
              <w:spacing w:line="280" w:lineRule="exact"/>
              <w:ind w:firstLine="0" w:firstLineChars="0"/>
              <w:jc w:val="center"/>
              <w:rPr>
                <w:sz w:val="21"/>
                <w:szCs w:val="21"/>
              </w:rPr>
            </w:pPr>
            <w:r>
              <w:rPr>
                <w:rFonts w:hint="eastAsia" w:cs="仿宋"/>
                <w:sz w:val="21"/>
                <w:szCs w:val="21"/>
              </w:rPr>
              <w:t>石人山自然生态系统保护区</w:t>
            </w:r>
          </w:p>
        </w:tc>
        <w:tc>
          <w:tcPr>
            <w:tcW w:w="1490" w:type="dxa"/>
            <w:vAlign w:val="center"/>
          </w:tcPr>
          <w:p>
            <w:pPr>
              <w:spacing w:line="280" w:lineRule="exact"/>
              <w:ind w:firstLine="0" w:firstLineChars="0"/>
              <w:jc w:val="center"/>
              <w:rPr>
                <w:sz w:val="21"/>
                <w:szCs w:val="21"/>
              </w:rPr>
            </w:pPr>
            <w:r>
              <w:rPr>
                <w:rFonts w:hint="eastAsia" w:cs="仿宋"/>
                <w:sz w:val="21"/>
                <w:szCs w:val="21"/>
              </w:rPr>
              <w:t>新城子区马刚乡东北</w:t>
            </w:r>
            <w:r>
              <w:rPr>
                <w:sz w:val="21"/>
                <w:szCs w:val="21"/>
              </w:rPr>
              <w:t>4.25</w:t>
            </w:r>
            <w:r>
              <w:rPr>
                <w:rFonts w:hint="eastAsia" w:cs="仿宋"/>
                <w:sz w:val="21"/>
                <w:szCs w:val="21"/>
              </w:rPr>
              <w:t>千米处</w:t>
            </w:r>
          </w:p>
        </w:tc>
        <w:tc>
          <w:tcPr>
            <w:tcW w:w="2902" w:type="dxa"/>
            <w:vAlign w:val="center"/>
          </w:tcPr>
          <w:p>
            <w:pPr>
              <w:spacing w:line="280" w:lineRule="exact"/>
              <w:ind w:firstLine="0" w:firstLineChars="0"/>
              <w:jc w:val="center"/>
              <w:rPr>
                <w:sz w:val="21"/>
                <w:szCs w:val="21"/>
              </w:rPr>
            </w:pPr>
            <w:r>
              <w:rPr>
                <w:rFonts w:hint="eastAsia" w:cs="仿宋"/>
                <w:sz w:val="21"/>
                <w:szCs w:val="21"/>
              </w:rPr>
              <w:t>东至望宾乡房身沟和曾子沟乡路西，西起马刚乡中寺村东，南至马泉沟，北抵邱家沟路南</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20</w:t>
            </w:r>
            <w:r>
              <w:rPr>
                <w:rFonts w:hint="eastAsia" w:cs="仿宋"/>
                <w:sz w:val="21"/>
                <w:szCs w:val="21"/>
              </w:rPr>
              <w:t>平方千米。缓冲带面积：</w:t>
            </w:r>
            <w:r>
              <w:rPr>
                <w:sz w:val="21"/>
                <w:szCs w:val="21"/>
              </w:rPr>
              <w:t>3.75</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5</w:t>
            </w:r>
          </w:p>
        </w:tc>
        <w:tc>
          <w:tcPr>
            <w:tcW w:w="1063" w:type="dxa"/>
            <w:vAlign w:val="center"/>
          </w:tcPr>
          <w:p>
            <w:pPr>
              <w:spacing w:line="280" w:lineRule="exact"/>
              <w:ind w:firstLine="0" w:firstLineChars="0"/>
              <w:jc w:val="center"/>
              <w:rPr>
                <w:sz w:val="21"/>
                <w:szCs w:val="21"/>
              </w:rPr>
            </w:pPr>
            <w:r>
              <w:rPr>
                <w:rFonts w:hint="eastAsia" w:cs="仿宋"/>
                <w:sz w:val="21"/>
                <w:szCs w:val="21"/>
              </w:rPr>
              <w:t>石佛寺地区</w:t>
            </w:r>
          </w:p>
        </w:tc>
        <w:tc>
          <w:tcPr>
            <w:tcW w:w="1490" w:type="dxa"/>
            <w:vAlign w:val="center"/>
          </w:tcPr>
          <w:p>
            <w:pPr>
              <w:spacing w:line="280" w:lineRule="exact"/>
              <w:ind w:firstLine="0" w:firstLineChars="0"/>
              <w:jc w:val="center"/>
              <w:rPr>
                <w:sz w:val="21"/>
                <w:szCs w:val="21"/>
              </w:rPr>
            </w:pPr>
            <w:r>
              <w:rPr>
                <w:rFonts w:hint="eastAsia" w:cs="仿宋"/>
                <w:sz w:val="21"/>
                <w:szCs w:val="21"/>
              </w:rPr>
              <w:t>新城子区石佛乡</w:t>
            </w:r>
          </w:p>
        </w:tc>
        <w:tc>
          <w:tcPr>
            <w:tcW w:w="2902" w:type="dxa"/>
            <w:vAlign w:val="center"/>
          </w:tcPr>
          <w:p>
            <w:pPr>
              <w:spacing w:line="280" w:lineRule="exact"/>
              <w:ind w:firstLine="0" w:firstLineChars="0"/>
              <w:jc w:val="center"/>
              <w:rPr>
                <w:sz w:val="21"/>
                <w:szCs w:val="21"/>
              </w:rPr>
            </w:pPr>
            <w:r>
              <w:rPr>
                <w:rFonts w:hint="eastAsia" w:cs="仿宋"/>
                <w:sz w:val="21"/>
                <w:szCs w:val="21"/>
              </w:rPr>
              <w:t>东邻双州城，西至山西村，南起石佛一村，北抵辽河</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4</w:t>
            </w:r>
            <w:r>
              <w:rPr>
                <w:rFonts w:hint="eastAsia" w:cs="仿宋"/>
                <w:sz w:val="21"/>
                <w:szCs w:val="21"/>
              </w:rPr>
              <w:t>平方千米。缓冲带面积：</w:t>
            </w:r>
            <w:r>
              <w:rPr>
                <w:sz w:val="21"/>
                <w:szCs w:val="21"/>
              </w:rPr>
              <w:t>1</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6</w:t>
            </w:r>
          </w:p>
        </w:tc>
        <w:tc>
          <w:tcPr>
            <w:tcW w:w="1063" w:type="dxa"/>
            <w:vAlign w:val="center"/>
          </w:tcPr>
          <w:p>
            <w:pPr>
              <w:spacing w:line="280" w:lineRule="exact"/>
              <w:ind w:firstLine="0" w:firstLineChars="0"/>
              <w:jc w:val="center"/>
              <w:rPr>
                <w:sz w:val="21"/>
                <w:szCs w:val="21"/>
              </w:rPr>
            </w:pPr>
            <w:r>
              <w:rPr>
                <w:rFonts w:hint="eastAsia" w:cs="仿宋"/>
                <w:sz w:val="21"/>
                <w:szCs w:val="21"/>
              </w:rPr>
              <w:t>卧龙湖地区</w:t>
            </w:r>
          </w:p>
        </w:tc>
        <w:tc>
          <w:tcPr>
            <w:tcW w:w="1490" w:type="dxa"/>
            <w:vAlign w:val="center"/>
          </w:tcPr>
          <w:p>
            <w:pPr>
              <w:spacing w:line="280" w:lineRule="exact"/>
              <w:ind w:firstLine="0" w:firstLineChars="0"/>
              <w:jc w:val="center"/>
              <w:rPr>
                <w:sz w:val="21"/>
                <w:szCs w:val="21"/>
              </w:rPr>
            </w:pPr>
            <w:r>
              <w:rPr>
                <w:rFonts w:hint="eastAsia" w:cs="仿宋"/>
                <w:sz w:val="21"/>
                <w:szCs w:val="21"/>
              </w:rPr>
              <w:t>康平县</w:t>
            </w:r>
          </w:p>
        </w:tc>
        <w:tc>
          <w:tcPr>
            <w:tcW w:w="2902" w:type="dxa"/>
            <w:vAlign w:val="center"/>
          </w:tcPr>
          <w:p>
            <w:pPr>
              <w:spacing w:line="280" w:lineRule="exact"/>
              <w:ind w:firstLine="0" w:firstLineChars="0"/>
              <w:jc w:val="center"/>
              <w:rPr>
                <w:sz w:val="21"/>
                <w:szCs w:val="21"/>
              </w:rPr>
            </w:pPr>
            <w:r>
              <w:rPr>
                <w:rFonts w:hint="eastAsia" w:cs="仿宋"/>
                <w:sz w:val="21"/>
                <w:szCs w:val="21"/>
              </w:rPr>
              <w:t>东至李家窝堡，西至南家窝堡。南至杨家窝堡，北邻修李家堡</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55</w:t>
            </w:r>
            <w:r>
              <w:rPr>
                <w:rFonts w:hint="eastAsia" w:cs="仿宋"/>
                <w:sz w:val="21"/>
                <w:szCs w:val="21"/>
              </w:rPr>
              <w:t>平方千米。缓冲带面积：</w:t>
            </w:r>
            <w:r>
              <w:rPr>
                <w:sz w:val="21"/>
                <w:szCs w:val="21"/>
              </w:rPr>
              <w:t>8</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7</w:t>
            </w:r>
          </w:p>
        </w:tc>
        <w:tc>
          <w:tcPr>
            <w:tcW w:w="1063" w:type="dxa"/>
            <w:vAlign w:val="center"/>
          </w:tcPr>
          <w:p>
            <w:pPr>
              <w:spacing w:line="280" w:lineRule="exact"/>
              <w:ind w:firstLine="0" w:firstLineChars="0"/>
              <w:jc w:val="center"/>
              <w:rPr>
                <w:sz w:val="21"/>
                <w:szCs w:val="21"/>
              </w:rPr>
            </w:pPr>
            <w:r>
              <w:rPr>
                <w:rFonts w:hint="eastAsia" w:cs="仿宋"/>
                <w:sz w:val="21"/>
                <w:szCs w:val="21"/>
              </w:rPr>
              <w:t>花古地区</w:t>
            </w:r>
          </w:p>
        </w:tc>
        <w:tc>
          <w:tcPr>
            <w:tcW w:w="1490" w:type="dxa"/>
            <w:vAlign w:val="center"/>
          </w:tcPr>
          <w:p>
            <w:pPr>
              <w:spacing w:line="280" w:lineRule="exact"/>
              <w:ind w:firstLine="0" w:firstLineChars="0"/>
              <w:jc w:val="center"/>
              <w:rPr>
                <w:sz w:val="21"/>
                <w:szCs w:val="21"/>
              </w:rPr>
            </w:pPr>
            <w:r>
              <w:rPr>
                <w:rFonts w:hint="eastAsia" w:cs="仿宋"/>
                <w:sz w:val="21"/>
                <w:szCs w:val="21"/>
              </w:rPr>
              <w:t>康平县</w:t>
            </w:r>
          </w:p>
        </w:tc>
        <w:tc>
          <w:tcPr>
            <w:tcW w:w="2902" w:type="dxa"/>
            <w:vAlign w:val="center"/>
          </w:tcPr>
          <w:p>
            <w:pPr>
              <w:spacing w:line="280" w:lineRule="exact"/>
              <w:ind w:firstLine="0" w:firstLineChars="0"/>
              <w:jc w:val="center"/>
              <w:rPr>
                <w:sz w:val="21"/>
                <w:szCs w:val="21"/>
              </w:rPr>
            </w:pPr>
            <w:r>
              <w:rPr>
                <w:rFonts w:hint="eastAsia" w:cs="仿宋"/>
                <w:sz w:val="21"/>
                <w:szCs w:val="21"/>
              </w:rPr>
              <w:t>东邻水库东岸，西临后旧府，南至西北土，北至西两家子</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4</w:t>
            </w:r>
            <w:r>
              <w:rPr>
                <w:rFonts w:hint="eastAsia" w:cs="仿宋"/>
                <w:sz w:val="21"/>
                <w:szCs w:val="21"/>
              </w:rPr>
              <w:t>平方千米。缓冲带面积：</w:t>
            </w:r>
            <w:r>
              <w:rPr>
                <w:sz w:val="21"/>
                <w:szCs w:val="21"/>
              </w:rPr>
              <w:t>1</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8</w:t>
            </w:r>
          </w:p>
        </w:tc>
        <w:tc>
          <w:tcPr>
            <w:tcW w:w="1063" w:type="dxa"/>
            <w:vAlign w:val="center"/>
          </w:tcPr>
          <w:p>
            <w:pPr>
              <w:spacing w:line="280" w:lineRule="exact"/>
              <w:ind w:firstLine="0" w:firstLineChars="0"/>
              <w:jc w:val="center"/>
              <w:rPr>
                <w:sz w:val="21"/>
                <w:szCs w:val="21"/>
              </w:rPr>
            </w:pPr>
            <w:r>
              <w:rPr>
                <w:rFonts w:hint="eastAsia" w:cs="仿宋"/>
                <w:sz w:val="21"/>
                <w:szCs w:val="21"/>
              </w:rPr>
              <w:t>泡子沿地区</w:t>
            </w:r>
          </w:p>
        </w:tc>
        <w:tc>
          <w:tcPr>
            <w:tcW w:w="1490" w:type="dxa"/>
            <w:vAlign w:val="center"/>
          </w:tcPr>
          <w:p>
            <w:pPr>
              <w:spacing w:line="280" w:lineRule="exact"/>
              <w:ind w:firstLine="0" w:firstLineChars="0"/>
              <w:jc w:val="center"/>
              <w:rPr>
                <w:sz w:val="21"/>
                <w:szCs w:val="21"/>
              </w:rPr>
            </w:pPr>
            <w:r>
              <w:rPr>
                <w:rFonts w:hint="eastAsia" w:cs="仿宋"/>
                <w:sz w:val="21"/>
                <w:szCs w:val="21"/>
              </w:rPr>
              <w:t>法库县</w:t>
            </w:r>
          </w:p>
        </w:tc>
        <w:tc>
          <w:tcPr>
            <w:tcW w:w="2902" w:type="dxa"/>
            <w:vAlign w:val="center"/>
          </w:tcPr>
          <w:p>
            <w:pPr>
              <w:spacing w:line="280" w:lineRule="exact"/>
              <w:ind w:firstLine="0" w:firstLineChars="0"/>
              <w:jc w:val="center"/>
              <w:rPr>
                <w:sz w:val="21"/>
                <w:szCs w:val="21"/>
              </w:rPr>
            </w:pPr>
            <w:r>
              <w:rPr>
                <w:rFonts w:hint="eastAsia" w:cs="仿宋"/>
                <w:sz w:val="21"/>
                <w:szCs w:val="21"/>
              </w:rPr>
              <w:t>东至龙家，西邻陀山沟，南至水库南岸，北至东大房申</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5</w:t>
            </w:r>
            <w:r>
              <w:rPr>
                <w:rFonts w:hint="eastAsia" w:cs="仿宋"/>
                <w:sz w:val="21"/>
                <w:szCs w:val="21"/>
              </w:rPr>
              <w:t>平方千米。缓冲带面积：</w:t>
            </w:r>
            <w:r>
              <w:rPr>
                <w:sz w:val="21"/>
                <w:szCs w:val="21"/>
              </w:rPr>
              <w:t>1.5</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9</w:t>
            </w:r>
          </w:p>
        </w:tc>
        <w:tc>
          <w:tcPr>
            <w:tcW w:w="1063" w:type="dxa"/>
            <w:vAlign w:val="center"/>
          </w:tcPr>
          <w:p>
            <w:pPr>
              <w:spacing w:line="280" w:lineRule="exact"/>
              <w:ind w:firstLine="0" w:firstLineChars="0"/>
              <w:jc w:val="center"/>
              <w:rPr>
                <w:sz w:val="21"/>
                <w:szCs w:val="21"/>
              </w:rPr>
            </w:pPr>
            <w:r>
              <w:rPr>
                <w:rFonts w:hint="eastAsia" w:cs="仿宋"/>
                <w:sz w:val="21"/>
                <w:szCs w:val="21"/>
              </w:rPr>
              <w:t>尚屯地区</w:t>
            </w:r>
          </w:p>
        </w:tc>
        <w:tc>
          <w:tcPr>
            <w:tcW w:w="1490" w:type="dxa"/>
            <w:vAlign w:val="center"/>
          </w:tcPr>
          <w:p>
            <w:pPr>
              <w:spacing w:line="280" w:lineRule="exact"/>
              <w:ind w:firstLine="0" w:firstLineChars="0"/>
              <w:jc w:val="center"/>
              <w:rPr>
                <w:sz w:val="21"/>
                <w:szCs w:val="21"/>
              </w:rPr>
            </w:pPr>
            <w:r>
              <w:rPr>
                <w:rFonts w:hint="eastAsia" w:cs="仿宋"/>
                <w:sz w:val="21"/>
                <w:szCs w:val="21"/>
              </w:rPr>
              <w:t>法库县</w:t>
            </w:r>
          </w:p>
        </w:tc>
        <w:tc>
          <w:tcPr>
            <w:tcW w:w="2902" w:type="dxa"/>
            <w:vAlign w:val="center"/>
          </w:tcPr>
          <w:p>
            <w:pPr>
              <w:spacing w:line="280" w:lineRule="exact"/>
              <w:ind w:firstLine="0" w:firstLineChars="0"/>
              <w:jc w:val="center"/>
              <w:rPr>
                <w:sz w:val="21"/>
                <w:szCs w:val="21"/>
              </w:rPr>
            </w:pPr>
            <w:r>
              <w:rPr>
                <w:rFonts w:hint="eastAsia" w:cs="仿宋"/>
                <w:sz w:val="21"/>
                <w:szCs w:val="21"/>
              </w:rPr>
              <w:t>东邻水库东岸，西至罗泉沟，南林水库南岸，北临高丽房</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9.0</w:t>
            </w:r>
            <w:r>
              <w:rPr>
                <w:rFonts w:hint="eastAsia" w:cs="仿宋"/>
                <w:sz w:val="21"/>
                <w:szCs w:val="21"/>
              </w:rPr>
              <w:t>平方千米。缓冲带面积：</w:t>
            </w:r>
            <w:r>
              <w:rPr>
                <w:sz w:val="21"/>
                <w:szCs w:val="21"/>
              </w:rPr>
              <w:t>3.0</w:t>
            </w:r>
            <w:r>
              <w:rPr>
                <w:rFonts w:hint="eastAsia" w:cs="仿宋"/>
                <w:sz w:val="21"/>
                <w:szCs w:val="21"/>
              </w:rPr>
              <w:t>平方千米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pPr>
              <w:spacing w:line="280" w:lineRule="exact"/>
              <w:ind w:firstLine="0" w:firstLineChars="0"/>
              <w:jc w:val="center"/>
              <w:rPr>
                <w:sz w:val="21"/>
                <w:szCs w:val="21"/>
              </w:rPr>
            </w:pPr>
            <w:r>
              <w:rPr>
                <w:sz w:val="21"/>
                <w:szCs w:val="21"/>
              </w:rPr>
              <w:t>10</w:t>
            </w:r>
          </w:p>
        </w:tc>
        <w:tc>
          <w:tcPr>
            <w:tcW w:w="1063" w:type="dxa"/>
            <w:vAlign w:val="center"/>
          </w:tcPr>
          <w:p>
            <w:pPr>
              <w:spacing w:line="280" w:lineRule="exact"/>
              <w:ind w:firstLine="0" w:firstLineChars="0"/>
              <w:jc w:val="center"/>
              <w:rPr>
                <w:sz w:val="21"/>
                <w:szCs w:val="21"/>
              </w:rPr>
            </w:pPr>
            <w:r>
              <w:rPr>
                <w:rFonts w:hint="eastAsia" w:cs="仿宋"/>
                <w:sz w:val="21"/>
                <w:szCs w:val="21"/>
              </w:rPr>
              <w:t>团结湖地区</w:t>
            </w:r>
          </w:p>
        </w:tc>
        <w:tc>
          <w:tcPr>
            <w:tcW w:w="1490" w:type="dxa"/>
            <w:vAlign w:val="center"/>
          </w:tcPr>
          <w:p>
            <w:pPr>
              <w:spacing w:line="280" w:lineRule="exact"/>
              <w:ind w:firstLine="0" w:firstLineChars="0"/>
              <w:jc w:val="center"/>
              <w:rPr>
                <w:sz w:val="21"/>
                <w:szCs w:val="21"/>
              </w:rPr>
            </w:pPr>
            <w:r>
              <w:rPr>
                <w:rFonts w:hint="eastAsia" w:cs="仿宋"/>
                <w:sz w:val="21"/>
                <w:szCs w:val="21"/>
              </w:rPr>
              <w:t>新民与辽中县交界处</w:t>
            </w:r>
          </w:p>
        </w:tc>
        <w:tc>
          <w:tcPr>
            <w:tcW w:w="2902" w:type="dxa"/>
            <w:vAlign w:val="center"/>
          </w:tcPr>
          <w:p>
            <w:pPr>
              <w:spacing w:line="280" w:lineRule="exact"/>
              <w:ind w:firstLine="0" w:firstLineChars="0"/>
              <w:jc w:val="center"/>
              <w:rPr>
                <w:sz w:val="21"/>
                <w:szCs w:val="21"/>
              </w:rPr>
            </w:pPr>
            <w:r>
              <w:rPr>
                <w:rFonts w:hint="eastAsia" w:cs="仿宋"/>
                <w:sz w:val="21"/>
                <w:szCs w:val="21"/>
              </w:rPr>
              <w:t>东邻后尖山，西至冷子堡，南至人和村，北临张家屯。</w:t>
            </w:r>
          </w:p>
        </w:tc>
        <w:tc>
          <w:tcPr>
            <w:tcW w:w="2137" w:type="dxa"/>
            <w:vAlign w:val="center"/>
          </w:tcPr>
          <w:p>
            <w:pPr>
              <w:spacing w:line="280" w:lineRule="exact"/>
              <w:ind w:firstLine="0" w:firstLineChars="0"/>
              <w:jc w:val="center"/>
              <w:rPr>
                <w:sz w:val="21"/>
                <w:szCs w:val="21"/>
              </w:rPr>
            </w:pPr>
            <w:r>
              <w:rPr>
                <w:rFonts w:hint="eastAsia" w:cs="仿宋"/>
                <w:sz w:val="21"/>
                <w:szCs w:val="21"/>
              </w:rPr>
              <w:t>面积：</w:t>
            </w:r>
            <w:r>
              <w:rPr>
                <w:sz w:val="21"/>
                <w:szCs w:val="21"/>
              </w:rPr>
              <w:t>80</w:t>
            </w:r>
            <w:r>
              <w:rPr>
                <w:rFonts w:hint="eastAsia" w:cs="仿宋"/>
                <w:sz w:val="21"/>
                <w:szCs w:val="21"/>
              </w:rPr>
              <w:t>平方千米。缓冲带面积：</w:t>
            </w:r>
            <w:r>
              <w:rPr>
                <w:sz w:val="21"/>
                <w:szCs w:val="21"/>
              </w:rPr>
              <w:t>25</w:t>
            </w:r>
            <w:r>
              <w:rPr>
                <w:rFonts w:hint="eastAsia" w:cs="仿宋"/>
                <w:sz w:val="21"/>
                <w:szCs w:val="21"/>
              </w:rPr>
              <w:t>平方千米</w:t>
            </w:r>
          </w:p>
        </w:tc>
      </w:tr>
    </w:tbl>
    <w:p>
      <w:pPr>
        <w:ind w:firstLine="31680"/>
      </w:pPr>
      <w:r>
        <w:rPr>
          <w:rFonts w:hint="eastAsia" w:cs="仿宋"/>
        </w:rPr>
        <w:t>（</w:t>
      </w:r>
      <w:r>
        <w:t>2</w:t>
      </w:r>
      <w:r>
        <w:rPr>
          <w:rFonts w:hint="eastAsia" w:cs="仿宋"/>
        </w:rPr>
        <w:t>）地表水环境功能区</w:t>
      </w:r>
    </w:p>
    <w:p>
      <w:pPr>
        <w:ind w:firstLine="31680"/>
      </w:pPr>
      <w:r>
        <w:rPr>
          <w:rFonts w:hint="eastAsia" w:cs="仿宋"/>
        </w:rPr>
        <w:t>根据《沈阳市人民政府关于同意沈阳市地表水环境功能区管理意见的批复》（沈政〔</w:t>
      </w:r>
      <w:r>
        <w:t>1997</w:t>
      </w:r>
      <w:r>
        <w:rPr>
          <w:rFonts w:hint="eastAsia" w:cs="仿宋"/>
        </w:rPr>
        <w:t>〕</w:t>
      </w:r>
      <w:r>
        <w:t>30</w:t>
      </w:r>
      <w:r>
        <w:rPr>
          <w:rFonts w:hint="eastAsia" w:cs="仿宋"/>
        </w:rPr>
        <w:t>号），沈阳市地表水环境功能区划分为四个类别。规划范围内地表水环境功能区划详见表</w:t>
      </w:r>
      <w:r>
        <w:t>2-4</w:t>
      </w:r>
      <w:r>
        <w:rPr>
          <w:rFonts w:hint="eastAsia" w:cs="仿宋"/>
        </w:rPr>
        <w:t>。</w:t>
      </w:r>
    </w:p>
    <w:p>
      <w:pPr>
        <w:pStyle w:val="5"/>
        <w:spacing w:before="190"/>
      </w:pPr>
      <w:r>
        <w:rPr>
          <w:rFonts w:hint="eastAsia" w:cs="仿宋"/>
        </w:rPr>
        <w:t>表</w:t>
      </w:r>
      <w:r>
        <w:t xml:space="preserve">2-4 </w:t>
      </w:r>
      <w:r>
        <w:rPr>
          <w:rFonts w:hint="eastAsia" w:cs="仿宋"/>
        </w:rPr>
        <w:t>规划区域内部分地表水环境功能区划</w:t>
      </w:r>
    </w:p>
    <w:tbl>
      <w:tblPr>
        <w:tblStyle w:val="20"/>
        <w:tblW w:w="5000" w:type="pct"/>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5"/>
        <w:gridCol w:w="825"/>
        <w:gridCol w:w="922"/>
        <w:gridCol w:w="2284"/>
        <w:gridCol w:w="1408"/>
        <w:gridCol w:w="1440"/>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367" w:type="pct"/>
            <w:vAlign w:val="center"/>
          </w:tcPr>
          <w:p>
            <w:pPr>
              <w:spacing w:line="280" w:lineRule="exact"/>
              <w:ind w:firstLine="0" w:firstLineChars="0"/>
              <w:jc w:val="center"/>
              <w:rPr>
                <w:b/>
                <w:bCs/>
                <w:sz w:val="21"/>
                <w:szCs w:val="21"/>
              </w:rPr>
            </w:pPr>
            <w:r>
              <w:rPr>
                <w:rFonts w:hint="eastAsia" w:cs="仿宋"/>
                <w:b/>
                <w:bCs/>
                <w:sz w:val="21"/>
                <w:szCs w:val="21"/>
              </w:rPr>
              <w:t>序号</w:t>
            </w:r>
          </w:p>
        </w:tc>
        <w:tc>
          <w:tcPr>
            <w:tcW w:w="484" w:type="pct"/>
            <w:vAlign w:val="center"/>
          </w:tcPr>
          <w:p>
            <w:pPr>
              <w:spacing w:line="280" w:lineRule="exact"/>
              <w:ind w:firstLine="0" w:firstLineChars="0"/>
              <w:jc w:val="center"/>
              <w:rPr>
                <w:b/>
                <w:bCs/>
                <w:sz w:val="21"/>
                <w:szCs w:val="21"/>
              </w:rPr>
            </w:pPr>
            <w:r>
              <w:rPr>
                <w:rFonts w:hint="eastAsia" w:cs="仿宋"/>
                <w:b/>
                <w:bCs/>
                <w:sz w:val="21"/>
                <w:szCs w:val="21"/>
              </w:rPr>
              <w:t>水系</w:t>
            </w:r>
          </w:p>
        </w:tc>
        <w:tc>
          <w:tcPr>
            <w:tcW w:w="541" w:type="pct"/>
            <w:vAlign w:val="center"/>
          </w:tcPr>
          <w:p>
            <w:pPr>
              <w:spacing w:line="280" w:lineRule="exact"/>
              <w:ind w:firstLine="0" w:firstLineChars="0"/>
              <w:jc w:val="center"/>
              <w:rPr>
                <w:b/>
                <w:bCs/>
                <w:sz w:val="21"/>
                <w:szCs w:val="21"/>
              </w:rPr>
            </w:pPr>
            <w:r>
              <w:rPr>
                <w:rFonts w:hint="eastAsia" w:cs="仿宋"/>
                <w:b/>
                <w:bCs/>
                <w:sz w:val="21"/>
                <w:szCs w:val="21"/>
              </w:rPr>
              <w:t>河流</w:t>
            </w:r>
          </w:p>
        </w:tc>
        <w:tc>
          <w:tcPr>
            <w:tcW w:w="1340" w:type="pct"/>
            <w:vAlign w:val="center"/>
          </w:tcPr>
          <w:p>
            <w:pPr>
              <w:spacing w:line="280" w:lineRule="exact"/>
              <w:ind w:firstLine="0" w:firstLineChars="0"/>
              <w:jc w:val="center"/>
              <w:rPr>
                <w:b/>
                <w:bCs/>
                <w:sz w:val="21"/>
                <w:szCs w:val="21"/>
              </w:rPr>
            </w:pPr>
            <w:r>
              <w:rPr>
                <w:rFonts w:hint="eastAsia" w:cs="仿宋"/>
                <w:b/>
                <w:bCs/>
                <w:sz w:val="21"/>
                <w:szCs w:val="21"/>
              </w:rPr>
              <w:t>区段范围</w:t>
            </w:r>
          </w:p>
        </w:tc>
        <w:tc>
          <w:tcPr>
            <w:tcW w:w="826" w:type="pct"/>
            <w:vAlign w:val="center"/>
          </w:tcPr>
          <w:p>
            <w:pPr>
              <w:spacing w:line="280" w:lineRule="exact"/>
              <w:ind w:firstLine="0" w:firstLineChars="0"/>
              <w:jc w:val="center"/>
              <w:rPr>
                <w:b/>
                <w:bCs/>
                <w:sz w:val="21"/>
                <w:szCs w:val="21"/>
              </w:rPr>
            </w:pPr>
            <w:r>
              <w:rPr>
                <w:rFonts w:hint="eastAsia" w:cs="仿宋"/>
                <w:b/>
                <w:bCs/>
                <w:sz w:val="21"/>
                <w:szCs w:val="21"/>
              </w:rPr>
              <w:t>区段距离</w:t>
            </w:r>
          </w:p>
        </w:tc>
        <w:tc>
          <w:tcPr>
            <w:tcW w:w="845" w:type="pct"/>
            <w:vAlign w:val="center"/>
          </w:tcPr>
          <w:p>
            <w:pPr>
              <w:spacing w:line="280" w:lineRule="exact"/>
              <w:ind w:firstLine="0" w:firstLineChars="0"/>
              <w:jc w:val="center"/>
              <w:rPr>
                <w:b/>
                <w:bCs/>
                <w:sz w:val="21"/>
                <w:szCs w:val="21"/>
              </w:rPr>
            </w:pPr>
            <w:r>
              <w:rPr>
                <w:rFonts w:hint="eastAsia" w:cs="仿宋"/>
                <w:b/>
                <w:bCs/>
                <w:sz w:val="21"/>
                <w:szCs w:val="21"/>
              </w:rPr>
              <w:t>所在位置</w:t>
            </w:r>
          </w:p>
        </w:tc>
        <w:tc>
          <w:tcPr>
            <w:tcW w:w="597" w:type="pct"/>
            <w:vAlign w:val="center"/>
          </w:tcPr>
          <w:p>
            <w:pPr>
              <w:spacing w:line="280" w:lineRule="exact"/>
              <w:ind w:firstLine="0" w:firstLineChars="0"/>
              <w:jc w:val="center"/>
              <w:rPr>
                <w:b/>
                <w:bCs/>
                <w:sz w:val="21"/>
                <w:szCs w:val="21"/>
              </w:rPr>
            </w:pPr>
            <w:r>
              <w:rPr>
                <w:rFonts w:hint="eastAsia" w:cs="仿宋"/>
                <w:b/>
                <w:bCs/>
                <w:sz w:val="21"/>
                <w:szCs w:val="21"/>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w:t>
            </w:r>
          </w:p>
        </w:tc>
        <w:tc>
          <w:tcPr>
            <w:tcW w:w="484" w:type="pct"/>
            <w:vMerge w:val="restart"/>
            <w:vAlign w:val="center"/>
          </w:tcPr>
          <w:p>
            <w:pPr>
              <w:spacing w:line="280" w:lineRule="exact"/>
              <w:ind w:firstLine="0" w:firstLineChars="0"/>
              <w:jc w:val="center"/>
              <w:rPr>
                <w:sz w:val="21"/>
                <w:szCs w:val="21"/>
              </w:rPr>
            </w:pPr>
            <w:r>
              <w:rPr>
                <w:rFonts w:hint="eastAsia" w:cs="仿宋"/>
                <w:sz w:val="21"/>
                <w:szCs w:val="21"/>
              </w:rPr>
              <w:t>辽河</w:t>
            </w:r>
          </w:p>
        </w:tc>
        <w:tc>
          <w:tcPr>
            <w:tcW w:w="541" w:type="pct"/>
            <w:vAlign w:val="center"/>
          </w:tcPr>
          <w:p>
            <w:pPr>
              <w:spacing w:line="280" w:lineRule="exact"/>
              <w:ind w:firstLine="0" w:firstLineChars="0"/>
              <w:jc w:val="center"/>
              <w:rPr>
                <w:sz w:val="21"/>
                <w:szCs w:val="21"/>
              </w:rPr>
            </w:pPr>
            <w:r>
              <w:rPr>
                <w:rFonts w:hint="eastAsia" w:cs="仿宋"/>
                <w:sz w:val="21"/>
                <w:szCs w:val="21"/>
              </w:rPr>
              <w:t>西辽河</w:t>
            </w:r>
          </w:p>
        </w:tc>
        <w:tc>
          <w:tcPr>
            <w:tcW w:w="1340" w:type="pct"/>
            <w:vAlign w:val="center"/>
          </w:tcPr>
          <w:p>
            <w:pPr>
              <w:spacing w:line="280" w:lineRule="exact"/>
              <w:ind w:firstLine="0" w:firstLineChars="0"/>
              <w:jc w:val="center"/>
              <w:rPr>
                <w:sz w:val="21"/>
                <w:szCs w:val="21"/>
              </w:rPr>
            </w:pPr>
            <w:r>
              <w:rPr>
                <w:rFonts w:hint="eastAsia" w:cs="仿宋"/>
                <w:sz w:val="21"/>
                <w:szCs w:val="21"/>
              </w:rPr>
              <w:t>辽阳窝棚</w:t>
            </w:r>
            <w:r>
              <w:rPr>
                <w:sz w:val="21"/>
                <w:szCs w:val="21"/>
              </w:rPr>
              <w:t>-</w:t>
            </w:r>
            <w:r>
              <w:rPr>
                <w:rFonts w:hint="eastAsia" w:cs="仿宋"/>
                <w:sz w:val="21"/>
                <w:szCs w:val="21"/>
              </w:rPr>
              <w:t>福德店</w:t>
            </w:r>
          </w:p>
        </w:tc>
        <w:tc>
          <w:tcPr>
            <w:tcW w:w="826" w:type="pct"/>
            <w:vAlign w:val="center"/>
          </w:tcPr>
          <w:p>
            <w:pPr>
              <w:spacing w:line="280" w:lineRule="exact"/>
              <w:ind w:firstLine="0" w:firstLineChars="0"/>
              <w:jc w:val="center"/>
              <w:rPr>
                <w:sz w:val="21"/>
                <w:szCs w:val="21"/>
              </w:rPr>
            </w:pPr>
            <w:r>
              <w:rPr>
                <w:sz w:val="21"/>
                <w:szCs w:val="21"/>
              </w:rPr>
              <w:t>6.3</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康平县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w:t>
            </w:r>
          </w:p>
        </w:tc>
        <w:tc>
          <w:tcPr>
            <w:tcW w:w="484" w:type="pct"/>
            <w:vMerge w:val="continue"/>
            <w:vAlign w:val="center"/>
          </w:tcPr>
          <w:p>
            <w:pPr>
              <w:spacing w:line="280" w:lineRule="exact"/>
              <w:ind w:firstLine="0" w:firstLineChars="0"/>
              <w:jc w:val="center"/>
              <w:rPr>
                <w:sz w:val="21"/>
                <w:szCs w:val="21"/>
              </w:rPr>
            </w:pP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辽河</w:t>
            </w:r>
          </w:p>
        </w:tc>
        <w:tc>
          <w:tcPr>
            <w:tcW w:w="1340" w:type="pct"/>
            <w:vAlign w:val="center"/>
          </w:tcPr>
          <w:p>
            <w:pPr>
              <w:spacing w:line="280" w:lineRule="exact"/>
              <w:ind w:firstLine="0" w:firstLineChars="0"/>
              <w:jc w:val="center"/>
              <w:rPr>
                <w:sz w:val="21"/>
                <w:szCs w:val="21"/>
              </w:rPr>
            </w:pPr>
            <w:r>
              <w:rPr>
                <w:rFonts w:hint="eastAsia" w:cs="仿宋"/>
                <w:sz w:val="21"/>
                <w:szCs w:val="21"/>
              </w:rPr>
              <w:t>福德店</w:t>
            </w:r>
            <w:r>
              <w:rPr>
                <w:sz w:val="21"/>
                <w:szCs w:val="21"/>
              </w:rPr>
              <w:t>-</w:t>
            </w:r>
            <w:r>
              <w:rPr>
                <w:rFonts w:hint="eastAsia" w:cs="仿宋"/>
                <w:sz w:val="21"/>
                <w:szCs w:val="21"/>
              </w:rPr>
              <w:t>杨家塘坊</w:t>
            </w:r>
          </w:p>
        </w:tc>
        <w:tc>
          <w:tcPr>
            <w:tcW w:w="826" w:type="pct"/>
            <w:vAlign w:val="center"/>
          </w:tcPr>
          <w:p>
            <w:pPr>
              <w:spacing w:line="280" w:lineRule="exact"/>
              <w:ind w:firstLine="0" w:firstLineChars="0"/>
              <w:jc w:val="center"/>
              <w:rPr>
                <w:sz w:val="21"/>
                <w:szCs w:val="21"/>
              </w:rPr>
            </w:pPr>
            <w:r>
              <w:rPr>
                <w:sz w:val="21"/>
                <w:szCs w:val="21"/>
              </w:rPr>
              <w:t>61.2</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康平县、法库县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3</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朱尔山</w:t>
            </w:r>
            <w:r>
              <w:rPr>
                <w:sz w:val="21"/>
                <w:szCs w:val="21"/>
              </w:rPr>
              <w:t>-</w:t>
            </w:r>
            <w:r>
              <w:rPr>
                <w:rFonts w:hint="eastAsia" w:cs="仿宋"/>
                <w:sz w:val="21"/>
                <w:szCs w:val="21"/>
              </w:rPr>
              <w:t>石佛寺</w:t>
            </w:r>
          </w:p>
        </w:tc>
        <w:tc>
          <w:tcPr>
            <w:tcW w:w="826" w:type="pct"/>
            <w:vAlign w:val="center"/>
          </w:tcPr>
          <w:p>
            <w:pPr>
              <w:spacing w:line="280" w:lineRule="exact"/>
              <w:ind w:firstLine="0" w:firstLineChars="0"/>
              <w:jc w:val="center"/>
              <w:rPr>
                <w:sz w:val="21"/>
                <w:szCs w:val="21"/>
              </w:rPr>
            </w:pPr>
            <w:r>
              <w:rPr>
                <w:sz w:val="21"/>
                <w:szCs w:val="21"/>
              </w:rPr>
              <w:t>17.5</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新城子区</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4</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石佛寺</w:t>
            </w:r>
            <w:r>
              <w:rPr>
                <w:sz w:val="21"/>
                <w:szCs w:val="21"/>
              </w:rPr>
              <w:t>-</w:t>
            </w:r>
            <w:r>
              <w:rPr>
                <w:rFonts w:hint="eastAsia" w:cs="仿宋"/>
                <w:sz w:val="21"/>
                <w:szCs w:val="21"/>
              </w:rPr>
              <w:t>养息牧河口</w:t>
            </w:r>
          </w:p>
        </w:tc>
        <w:tc>
          <w:tcPr>
            <w:tcW w:w="826" w:type="pct"/>
            <w:vAlign w:val="center"/>
          </w:tcPr>
          <w:p>
            <w:pPr>
              <w:spacing w:line="280" w:lineRule="exact"/>
              <w:ind w:firstLine="0" w:firstLineChars="0"/>
              <w:jc w:val="center"/>
              <w:rPr>
                <w:sz w:val="21"/>
                <w:szCs w:val="21"/>
              </w:rPr>
            </w:pPr>
            <w:r>
              <w:rPr>
                <w:sz w:val="21"/>
                <w:szCs w:val="21"/>
              </w:rPr>
              <w:t>44.8</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新民市</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5</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养息牧河口</w:t>
            </w:r>
            <w:r>
              <w:rPr>
                <w:sz w:val="21"/>
                <w:szCs w:val="21"/>
              </w:rPr>
              <w:t>-</w:t>
            </w:r>
            <w:r>
              <w:rPr>
                <w:rFonts w:hint="eastAsia" w:cs="仿宋"/>
                <w:sz w:val="21"/>
                <w:szCs w:val="21"/>
              </w:rPr>
              <w:t>新民市排污口</w:t>
            </w:r>
          </w:p>
        </w:tc>
        <w:tc>
          <w:tcPr>
            <w:tcW w:w="826" w:type="pct"/>
            <w:vAlign w:val="center"/>
          </w:tcPr>
          <w:p>
            <w:pPr>
              <w:spacing w:line="280" w:lineRule="exact"/>
              <w:ind w:firstLine="0" w:firstLineChars="0"/>
              <w:jc w:val="center"/>
              <w:rPr>
                <w:sz w:val="21"/>
                <w:szCs w:val="21"/>
              </w:rPr>
            </w:pPr>
            <w:r>
              <w:rPr>
                <w:sz w:val="21"/>
                <w:szCs w:val="21"/>
              </w:rPr>
              <w:t>24.5</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新民市</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6</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新民市排污口</w:t>
            </w:r>
            <w:r>
              <w:rPr>
                <w:sz w:val="21"/>
                <w:szCs w:val="21"/>
              </w:rPr>
              <w:t>-</w:t>
            </w:r>
            <w:r>
              <w:rPr>
                <w:rFonts w:hint="eastAsia" w:cs="仿宋"/>
                <w:sz w:val="21"/>
                <w:szCs w:val="21"/>
              </w:rPr>
              <w:t>茨林子</w:t>
            </w:r>
          </w:p>
        </w:tc>
        <w:tc>
          <w:tcPr>
            <w:tcW w:w="826" w:type="pct"/>
            <w:vAlign w:val="center"/>
          </w:tcPr>
          <w:p>
            <w:pPr>
              <w:spacing w:line="280" w:lineRule="exact"/>
              <w:ind w:firstLine="0" w:firstLineChars="0"/>
              <w:jc w:val="center"/>
              <w:rPr>
                <w:sz w:val="21"/>
                <w:szCs w:val="21"/>
              </w:rPr>
            </w:pPr>
            <w:r>
              <w:rPr>
                <w:sz w:val="21"/>
                <w:szCs w:val="21"/>
              </w:rPr>
              <w:t>15.4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新民市</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7</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茨林子</w:t>
            </w:r>
            <w:r>
              <w:rPr>
                <w:sz w:val="21"/>
                <w:szCs w:val="21"/>
              </w:rPr>
              <w:t>-</w:t>
            </w:r>
            <w:r>
              <w:rPr>
                <w:rFonts w:hint="eastAsia" w:cs="仿宋"/>
                <w:sz w:val="21"/>
                <w:szCs w:val="21"/>
              </w:rPr>
              <w:t>狼窝村</w:t>
            </w:r>
          </w:p>
        </w:tc>
        <w:tc>
          <w:tcPr>
            <w:tcW w:w="826" w:type="pct"/>
            <w:vAlign w:val="center"/>
          </w:tcPr>
          <w:p>
            <w:pPr>
              <w:spacing w:line="280" w:lineRule="exact"/>
              <w:ind w:firstLine="0" w:firstLineChars="0"/>
              <w:jc w:val="center"/>
              <w:rPr>
                <w:sz w:val="21"/>
                <w:szCs w:val="21"/>
              </w:rPr>
            </w:pPr>
            <w:r>
              <w:rPr>
                <w:sz w:val="21"/>
                <w:szCs w:val="21"/>
              </w:rPr>
              <w:t>111.1</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新民市、辽中县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8</w:t>
            </w:r>
          </w:p>
        </w:tc>
        <w:tc>
          <w:tcPr>
            <w:tcW w:w="484" w:type="pct"/>
            <w:vMerge w:val="continue"/>
            <w:vAlign w:val="center"/>
          </w:tcPr>
          <w:p>
            <w:pPr>
              <w:spacing w:line="280" w:lineRule="exact"/>
              <w:ind w:firstLine="0" w:firstLineChars="0"/>
              <w:jc w:val="center"/>
              <w:rPr>
                <w:sz w:val="21"/>
                <w:szCs w:val="21"/>
              </w:rPr>
            </w:pP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八家子河</w:t>
            </w:r>
          </w:p>
        </w:tc>
        <w:tc>
          <w:tcPr>
            <w:tcW w:w="1340" w:type="pct"/>
            <w:vAlign w:val="center"/>
          </w:tcPr>
          <w:p>
            <w:pPr>
              <w:spacing w:line="280" w:lineRule="exact"/>
              <w:ind w:firstLine="0" w:firstLineChars="0"/>
              <w:jc w:val="center"/>
              <w:rPr>
                <w:sz w:val="21"/>
                <w:szCs w:val="21"/>
              </w:rPr>
            </w:pPr>
            <w:r>
              <w:rPr>
                <w:rFonts w:hint="eastAsia" w:cs="仿宋"/>
                <w:sz w:val="21"/>
                <w:szCs w:val="21"/>
              </w:rPr>
              <w:t>焦家窝堡</w:t>
            </w:r>
            <w:r>
              <w:rPr>
                <w:sz w:val="21"/>
                <w:szCs w:val="21"/>
              </w:rPr>
              <w:t>-</w:t>
            </w:r>
            <w:r>
              <w:rPr>
                <w:rFonts w:hint="eastAsia" w:cs="仿宋"/>
                <w:sz w:val="21"/>
                <w:szCs w:val="21"/>
              </w:rPr>
              <w:t>八家子</w:t>
            </w:r>
          </w:p>
        </w:tc>
        <w:tc>
          <w:tcPr>
            <w:tcW w:w="826" w:type="pct"/>
            <w:vAlign w:val="center"/>
          </w:tcPr>
          <w:p>
            <w:pPr>
              <w:spacing w:line="280" w:lineRule="exact"/>
              <w:ind w:firstLine="0" w:firstLineChars="0"/>
              <w:jc w:val="center"/>
              <w:rPr>
                <w:sz w:val="21"/>
                <w:szCs w:val="21"/>
              </w:rPr>
            </w:pPr>
            <w:r>
              <w:rPr>
                <w:sz w:val="21"/>
                <w:szCs w:val="21"/>
              </w:rPr>
              <w:t>19.0</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康平县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9</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八家子</w:t>
            </w:r>
            <w:r>
              <w:rPr>
                <w:sz w:val="21"/>
                <w:szCs w:val="21"/>
              </w:rPr>
              <w:t>-</w:t>
            </w:r>
            <w:r>
              <w:rPr>
                <w:rFonts w:hint="eastAsia" w:cs="仿宋"/>
                <w:sz w:val="21"/>
                <w:szCs w:val="21"/>
              </w:rPr>
              <w:t>东孤店</w:t>
            </w:r>
          </w:p>
        </w:tc>
        <w:tc>
          <w:tcPr>
            <w:tcW w:w="826" w:type="pct"/>
            <w:vAlign w:val="center"/>
          </w:tcPr>
          <w:p>
            <w:pPr>
              <w:spacing w:line="280" w:lineRule="exact"/>
              <w:ind w:firstLine="0" w:firstLineChars="0"/>
              <w:jc w:val="center"/>
              <w:rPr>
                <w:sz w:val="21"/>
                <w:szCs w:val="21"/>
              </w:rPr>
            </w:pPr>
            <w:r>
              <w:rPr>
                <w:sz w:val="21"/>
                <w:szCs w:val="21"/>
              </w:rPr>
              <w:t>16.0</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康平县</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10</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东孤店</w:t>
            </w:r>
            <w:r>
              <w:rPr>
                <w:sz w:val="21"/>
                <w:szCs w:val="21"/>
              </w:rPr>
              <w:t>-</w:t>
            </w:r>
            <w:r>
              <w:rPr>
                <w:rFonts w:hint="eastAsia" w:cs="仿宋"/>
                <w:sz w:val="21"/>
                <w:szCs w:val="21"/>
              </w:rPr>
              <w:t>老山头</w:t>
            </w:r>
          </w:p>
        </w:tc>
        <w:tc>
          <w:tcPr>
            <w:tcW w:w="826" w:type="pct"/>
            <w:vAlign w:val="center"/>
          </w:tcPr>
          <w:p>
            <w:pPr>
              <w:spacing w:line="280" w:lineRule="exact"/>
              <w:ind w:firstLine="0" w:firstLineChars="0"/>
              <w:jc w:val="center"/>
              <w:rPr>
                <w:sz w:val="21"/>
                <w:szCs w:val="21"/>
              </w:rPr>
            </w:pPr>
            <w:r>
              <w:rPr>
                <w:sz w:val="21"/>
                <w:szCs w:val="21"/>
              </w:rPr>
              <w:t>6.3</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康平县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11</w:t>
            </w:r>
          </w:p>
        </w:tc>
        <w:tc>
          <w:tcPr>
            <w:tcW w:w="484" w:type="pct"/>
            <w:vMerge w:val="continue"/>
            <w:vAlign w:val="center"/>
          </w:tcPr>
          <w:p>
            <w:pPr>
              <w:spacing w:line="280" w:lineRule="exact"/>
              <w:ind w:firstLine="0" w:firstLineChars="0"/>
              <w:jc w:val="center"/>
              <w:rPr>
                <w:sz w:val="21"/>
                <w:szCs w:val="21"/>
              </w:rPr>
            </w:pPr>
          </w:p>
        </w:tc>
        <w:tc>
          <w:tcPr>
            <w:tcW w:w="541" w:type="pct"/>
            <w:vAlign w:val="center"/>
          </w:tcPr>
          <w:p>
            <w:pPr>
              <w:spacing w:line="280" w:lineRule="exact"/>
              <w:ind w:firstLine="0" w:firstLineChars="0"/>
              <w:jc w:val="center"/>
              <w:rPr>
                <w:sz w:val="21"/>
                <w:szCs w:val="21"/>
              </w:rPr>
            </w:pPr>
            <w:r>
              <w:rPr>
                <w:rFonts w:hint="eastAsia" w:cs="仿宋"/>
                <w:sz w:val="21"/>
                <w:szCs w:val="21"/>
              </w:rPr>
              <w:t>公主陵河</w:t>
            </w:r>
          </w:p>
        </w:tc>
        <w:tc>
          <w:tcPr>
            <w:tcW w:w="1340" w:type="pct"/>
            <w:vAlign w:val="center"/>
          </w:tcPr>
          <w:p>
            <w:pPr>
              <w:spacing w:line="280" w:lineRule="exact"/>
              <w:ind w:firstLine="0" w:firstLineChars="0"/>
              <w:jc w:val="center"/>
              <w:rPr>
                <w:sz w:val="21"/>
                <w:szCs w:val="21"/>
              </w:rPr>
            </w:pPr>
            <w:r>
              <w:rPr>
                <w:rFonts w:hint="eastAsia" w:cs="仿宋"/>
                <w:sz w:val="21"/>
                <w:szCs w:val="21"/>
              </w:rPr>
              <w:t>满洲屯</w:t>
            </w:r>
            <w:r>
              <w:rPr>
                <w:sz w:val="21"/>
                <w:szCs w:val="21"/>
              </w:rPr>
              <w:t>-</w:t>
            </w:r>
            <w:r>
              <w:rPr>
                <w:rFonts w:hint="eastAsia" w:cs="仿宋"/>
                <w:sz w:val="21"/>
                <w:szCs w:val="21"/>
              </w:rPr>
              <w:t>尚屯水库</w:t>
            </w:r>
          </w:p>
        </w:tc>
        <w:tc>
          <w:tcPr>
            <w:tcW w:w="826" w:type="pct"/>
            <w:vAlign w:val="center"/>
          </w:tcPr>
          <w:p>
            <w:pPr>
              <w:spacing w:line="280" w:lineRule="exact"/>
              <w:ind w:firstLine="0" w:firstLineChars="0"/>
              <w:jc w:val="center"/>
              <w:rPr>
                <w:sz w:val="21"/>
                <w:szCs w:val="21"/>
              </w:rPr>
            </w:pPr>
            <w:r>
              <w:rPr>
                <w:sz w:val="21"/>
                <w:szCs w:val="21"/>
              </w:rPr>
              <w:t>12.6</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法库县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12</w:t>
            </w:r>
          </w:p>
        </w:tc>
        <w:tc>
          <w:tcPr>
            <w:tcW w:w="484" w:type="pct"/>
            <w:vMerge w:val="continue"/>
            <w:vAlign w:val="center"/>
          </w:tcPr>
          <w:p>
            <w:pPr>
              <w:spacing w:line="280" w:lineRule="exact"/>
              <w:ind w:firstLine="0" w:firstLineChars="0"/>
              <w:jc w:val="center"/>
              <w:rPr>
                <w:sz w:val="21"/>
                <w:szCs w:val="21"/>
              </w:rPr>
            </w:pP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拉马河</w:t>
            </w:r>
          </w:p>
        </w:tc>
        <w:tc>
          <w:tcPr>
            <w:tcW w:w="1340" w:type="pct"/>
            <w:vAlign w:val="center"/>
          </w:tcPr>
          <w:p>
            <w:pPr>
              <w:spacing w:line="280" w:lineRule="exact"/>
              <w:ind w:firstLine="0" w:firstLineChars="0"/>
              <w:jc w:val="center"/>
              <w:rPr>
                <w:sz w:val="21"/>
                <w:szCs w:val="21"/>
              </w:rPr>
            </w:pPr>
            <w:r>
              <w:rPr>
                <w:rFonts w:hint="eastAsia" w:cs="仿宋"/>
                <w:sz w:val="21"/>
                <w:szCs w:val="21"/>
              </w:rPr>
              <w:t>巴虎山</w:t>
            </w:r>
            <w:r>
              <w:rPr>
                <w:sz w:val="21"/>
                <w:szCs w:val="21"/>
              </w:rPr>
              <w:t>-</w:t>
            </w:r>
            <w:r>
              <w:rPr>
                <w:rFonts w:hint="eastAsia" w:cs="仿宋"/>
                <w:sz w:val="21"/>
                <w:szCs w:val="21"/>
              </w:rPr>
              <w:t>西团山子</w:t>
            </w:r>
          </w:p>
        </w:tc>
        <w:tc>
          <w:tcPr>
            <w:tcW w:w="826" w:type="pct"/>
            <w:vAlign w:val="center"/>
          </w:tcPr>
          <w:p>
            <w:pPr>
              <w:spacing w:line="280" w:lineRule="exact"/>
              <w:ind w:firstLine="0" w:firstLineChars="0"/>
              <w:jc w:val="center"/>
              <w:rPr>
                <w:sz w:val="21"/>
                <w:szCs w:val="21"/>
              </w:rPr>
            </w:pPr>
            <w:r>
              <w:rPr>
                <w:sz w:val="21"/>
                <w:szCs w:val="21"/>
              </w:rPr>
              <w:t>14.4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法库县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13</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西团山子</w:t>
            </w:r>
            <w:r>
              <w:rPr>
                <w:sz w:val="21"/>
                <w:szCs w:val="21"/>
              </w:rPr>
              <w:t>-</w:t>
            </w:r>
            <w:r>
              <w:rPr>
                <w:rFonts w:hint="eastAsia" w:cs="仿宋"/>
                <w:sz w:val="21"/>
                <w:szCs w:val="21"/>
              </w:rPr>
              <w:t>高力房</w:t>
            </w:r>
          </w:p>
        </w:tc>
        <w:tc>
          <w:tcPr>
            <w:tcW w:w="826" w:type="pct"/>
            <w:vAlign w:val="center"/>
          </w:tcPr>
          <w:p>
            <w:pPr>
              <w:spacing w:line="280" w:lineRule="exact"/>
              <w:ind w:firstLine="0" w:firstLineChars="0"/>
              <w:jc w:val="center"/>
              <w:rPr>
                <w:sz w:val="21"/>
                <w:szCs w:val="21"/>
              </w:rPr>
            </w:pPr>
            <w:r>
              <w:rPr>
                <w:sz w:val="21"/>
                <w:szCs w:val="21"/>
              </w:rPr>
              <w:t>3.6</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法库县</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14</w:t>
            </w:r>
          </w:p>
        </w:tc>
        <w:tc>
          <w:tcPr>
            <w:tcW w:w="484" w:type="pct"/>
            <w:vMerge w:val="continue"/>
            <w:vAlign w:val="center"/>
          </w:tcPr>
          <w:p>
            <w:pPr>
              <w:spacing w:line="280" w:lineRule="exact"/>
              <w:ind w:firstLine="0" w:firstLineChars="0"/>
              <w:jc w:val="center"/>
              <w:rPr>
                <w:sz w:val="21"/>
                <w:szCs w:val="21"/>
              </w:rPr>
            </w:pP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王河</w:t>
            </w:r>
          </w:p>
        </w:tc>
        <w:tc>
          <w:tcPr>
            <w:tcW w:w="1340" w:type="pct"/>
            <w:vAlign w:val="center"/>
          </w:tcPr>
          <w:p>
            <w:pPr>
              <w:spacing w:line="280" w:lineRule="exact"/>
              <w:ind w:firstLine="0" w:firstLineChars="0"/>
              <w:jc w:val="center"/>
              <w:rPr>
                <w:sz w:val="21"/>
                <w:szCs w:val="21"/>
              </w:rPr>
            </w:pPr>
            <w:r>
              <w:rPr>
                <w:rFonts w:hint="eastAsia" w:cs="仿宋"/>
                <w:sz w:val="21"/>
                <w:szCs w:val="21"/>
              </w:rPr>
              <w:t>孟家</w:t>
            </w:r>
            <w:r>
              <w:rPr>
                <w:sz w:val="21"/>
                <w:szCs w:val="21"/>
              </w:rPr>
              <w:t>-</w:t>
            </w:r>
            <w:r>
              <w:rPr>
                <w:rFonts w:hint="eastAsia" w:cs="仿宋"/>
                <w:sz w:val="21"/>
                <w:szCs w:val="21"/>
              </w:rPr>
              <w:t>大房身</w:t>
            </w:r>
          </w:p>
        </w:tc>
        <w:tc>
          <w:tcPr>
            <w:tcW w:w="826" w:type="pct"/>
            <w:vAlign w:val="center"/>
          </w:tcPr>
          <w:p>
            <w:pPr>
              <w:spacing w:line="280" w:lineRule="exact"/>
              <w:ind w:firstLine="0" w:firstLineChars="0"/>
              <w:jc w:val="center"/>
              <w:rPr>
                <w:sz w:val="21"/>
                <w:szCs w:val="21"/>
              </w:rPr>
            </w:pPr>
            <w:r>
              <w:rPr>
                <w:sz w:val="21"/>
                <w:szCs w:val="21"/>
              </w:rPr>
              <w:t>10.0</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法库县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15</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大房身</w:t>
            </w:r>
            <w:r>
              <w:rPr>
                <w:sz w:val="21"/>
                <w:szCs w:val="21"/>
              </w:rPr>
              <w:t>-</w:t>
            </w:r>
            <w:r>
              <w:rPr>
                <w:rFonts w:hint="eastAsia" w:cs="仿宋"/>
                <w:sz w:val="21"/>
                <w:szCs w:val="21"/>
              </w:rPr>
              <w:t>泡子沿水库入口</w:t>
            </w:r>
          </w:p>
        </w:tc>
        <w:tc>
          <w:tcPr>
            <w:tcW w:w="826" w:type="pct"/>
            <w:vAlign w:val="center"/>
          </w:tcPr>
          <w:p>
            <w:pPr>
              <w:spacing w:line="280" w:lineRule="exact"/>
              <w:ind w:firstLine="0" w:firstLineChars="0"/>
              <w:jc w:val="center"/>
              <w:rPr>
                <w:sz w:val="21"/>
                <w:szCs w:val="21"/>
              </w:rPr>
            </w:pPr>
            <w:r>
              <w:rPr>
                <w:sz w:val="21"/>
                <w:szCs w:val="21"/>
              </w:rPr>
              <w:t>2.7</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法库县</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16</w:t>
            </w:r>
          </w:p>
        </w:tc>
        <w:tc>
          <w:tcPr>
            <w:tcW w:w="484" w:type="pct"/>
            <w:vMerge w:val="restart"/>
            <w:vAlign w:val="center"/>
          </w:tcPr>
          <w:p>
            <w:pPr>
              <w:spacing w:line="280" w:lineRule="exact"/>
              <w:ind w:firstLine="0" w:firstLineChars="0"/>
              <w:jc w:val="center"/>
              <w:rPr>
                <w:sz w:val="21"/>
                <w:szCs w:val="21"/>
              </w:rPr>
            </w:pPr>
            <w:r>
              <w:rPr>
                <w:rFonts w:hint="eastAsia" w:cs="仿宋"/>
                <w:sz w:val="21"/>
                <w:szCs w:val="21"/>
              </w:rPr>
              <w:t>浑河</w:t>
            </w: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浑河</w:t>
            </w:r>
          </w:p>
        </w:tc>
        <w:tc>
          <w:tcPr>
            <w:tcW w:w="1340" w:type="pct"/>
            <w:vAlign w:val="center"/>
          </w:tcPr>
          <w:p>
            <w:pPr>
              <w:spacing w:line="280" w:lineRule="exact"/>
              <w:ind w:firstLine="0" w:firstLineChars="0"/>
              <w:jc w:val="center"/>
              <w:rPr>
                <w:sz w:val="21"/>
                <w:szCs w:val="21"/>
              </w:rPr>
            </w:pPr>
            <w:r>
              <w:rPr>
                <w:rFonts w:hint="eastAsia" w:cs="仿宋"/>
                <w:sz w:val="21"/>
                <w:szCs w:val="21"/>
              </w:rPr>
              <w:t>小仁镜</w:t>
            </w:r>
            <w:r>
              <w:rPr>
                <w:sz w:val="21"/>
                <w:szCs w:val="21"/>
              </w:rPr>
              <w:t>-</w:t>
            </w:r>
            <w:r>
              <w:rPr>
                <w:rFonts w:hint="eastAsia" w:cs="仿宋"/>
                <w:sz w:val="21"/>
                <w:szCs w:val="21"/>
              </w:rPr>
              <w:t>东陵大桥</w:t>
            </w:r>
          </w:p>
        </w:tc>
        <w:tc>
          <w:tcPr>
            <w:tcW w:w="826" w:type="pct"/>
            <w:vAlign w:val="center"/>
          </w:tcPr>
          <w:p>
            <w:pPr>
              <w:spacing w:line="280" w:lineRule="exact"/>
              <w:ind w:firstLine="0" w:firstLineChars="0"/>
              <w:jc w:val="center"/>
              <w:rPr>
                <w:sz w:val="21"/>
                <w:szCs w:val="21"/>
              </w:rPr>
            </w:pPr>
            <w:r>
              <w:rPr>
                <w:sz w:val="21"/>
                <w:szCs w:val="21"/>
              </w:rPr>
              <w:t>15.8</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东陵区</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17</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东陵大桥</w:t>
            </w:r>
            <w:r>
              <w:rPr>
                <w:sz w:val="21"/>
                <w:szCs w:val="21"/>
              </w:rPr>
              <w:t>-</w:t>
            </w:r>
            <w:r>
              <w:rPr>
                <w:rFonts w:hint="eastAsia" w:cs="仿宋"/>
                <w:sz w:val="21"/>
                <w:szCs w:val="21"/>
              </w:rPr>
              <w:t>南林子</w:t>
            </w:r>
          </w:p>
        </w:tc>
        <w:tc>
          <w:tcPr>
            <w:tcW w:w="826" w:type="pct"/>
            <w:vAlign w:val="center"/>
          </w:tcPr>
          <w:p>
            <w:pPr>
              <w:spacing w:line="280" w:lineRule="exact"/>
              <w:ind w:firstLine="0" w:firstLineChars="0"/>
              <w:jc w:val="center"/>
              <w:rPr>
                <w:sz w:val="21"/>
                <w:szCs w:val="21"/>
              </w:rPr>
            </w:pPr>
            <w:r>
              <w:rPr>
                <w:sz w:val="21"/>
                <w:szCs w:val="21"/>
              </w:rPr>
              <w:t>77.14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东陵、和平、于洪</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18</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南林子</w:t>
            </w:r>
            <w:r>
              <w:rPr>
                <w:sz w:val="21"/>
                <w:szCs w:val="21"/>
              </w:rPr>
              <w:t>-</w:t>
            </w:r>
            <w:r>
              <w:rPr>
                <w:rFonts w:hint="eastAsia" w:cs="仿宋"/>
                <w:sz w:val="21"/>
                <w:szCs w:val="21"/>
              </w:rPr>
              <w:t>长滩镇</w:t>
            </w:r>
          </w:p>
        </w:tc>
        <w:tc>
          <w:tcPr>
            <w:tcW w:w="826" w:type="pct"/>
            <w:vAlign w:val="center"/>
          </w:tcPr>
          <w:p>
            <w:pPr>
              <w:spacing w:line="280" w:lineRule="exact"/>
              <w:ind w:firstLine="0" w:firstLineChars="0"/>
              <w:jc w:val="center"/>
              <w:rPr>
                <w:sz w:val="21"/>
                <w:szCs w:val="21"/>
              </w:rPr>
            </w:pPr>
            <w:r>
              <w:rPr>
                <w:sz w:val="21"/>
                <w:szCs w:val="21"/>
              </w:rPr>
              <w:t>10.0</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辽中县</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19</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长滩镇</w:t>
            </w:r>
            <w:r>
              <w:rPr>
                <w:sz w:val="21"/>
                <w:szCs w:val="21"/>
              </w:rPr>
              <w:t>-</w:t>
            </w:r>
            <w:r>
              <w:rPr>
                <w:rFonts w:hint="eastAsia" w:cs="仿宋"/>
                <w:sz w:val="21"/>
                <w:szCs w:val="21"/>
              </w:rPr>
              <w:t>黄腊坨子</w:t>
            </w:r>
          </w:p>
        </w:tc>
        <w:tc>
          <w:tcPr>
            <w:tcW w:w="826" w:type="pct"/>
            <w:vAlign w:val="center"/>
          </w:tcPr>
          <w:p>
            <w:pPr>
              <w:spacing w:line="280" w:lineRule="exact"/>
              <w:ind w:firstLine="0" w:firstLineChars="0"/>
              <w:jc w:val="center"/>
              <w:rPr>
                <w:sz w:val="21"/>
                <w:szCs w:val="21"/>
              </w:rPr>
            </w:pPr>
            <w:r>
              <w:rPr>
                <w:sz w:val="21"/>
                <w:szCs w:val="21"/>
              </w:rPr>
              <w:t>10.64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于洪、辽中</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20</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黄腊坨子</w:t>
            </w:r>
            <w:r>
              <w:rPr>
                <w:sz w:val="21"/>
                <w:szCs w:val="21"/>
              </w:rPr>
              <w:t>-</w:t>
            </w:r>
            <w:r>
              <w:rPr>
                <w:rFonts w:hint="eastAsia" w:cs="仿宋"/>
                <w:sz w:val="21"/>
                <w:szCs w:val="21"/>
              </w:rPr>
              <w:t>七台子</w:t>
            </w:r>
          </w:p>
        </w:tc>
        <w:tc>
          <w:tcPr>
            <w:tcW w:w="826" w:type="pct"/>
            <w:vAlign w:val="center"/>
          </w:tcPr>
          <w:p>
            <w:pPr>
              <w:spacing w:line="280" w:lineRule="exact"/>
              <w:ind w:firstLine="0" w:firstLineChars="0"/>
              <w:jc w:val="center"/>
              <w:rPr>
                <w:sz w:val="21"/>
                <w:szCs w:val="21"/>
              </w:rPr>
            </w:pPr>
            <w:r>
              <w:rPr>
                <w:sz w:val="21"/>
                <w:szCs w:val="21"/>
              </w:rPr>
              <w:t>10</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辽中县</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21</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七台子</w:t>
            </w:r>
            <w:r>
              <w:rPr>
                <w:sz w:val="21"/>
                <w:szCs w:val="21"/>
              </w:rPr>
              <w:t>-</w:t>
            </w:r>
            <w:r>
              <w:rPr>
                <w:rFonts w:hint="eastAsia" w:cs="仿宋"/>
                <w:sz w:val="21"/>
                <w:szCs w:val="21"/>
              </w:rPr>
              <w:t>上顶子</w:t>
            </w:r>
          </w:p>
        </w:tc>
        <w:tc>
          <w:tcPr>
            <w:tcW w:w="826" w:type="pct"/>
            <w:vAlign w:val="center"/>
          </w:tcPr>
          <w:p>
            <w:pPr>
              <w:spacing w:line="280" w:lineRule="exact"/>
              <w:ind w:firstLine="0" w:firstLineChars="0"/>
              <w:jc w:val="center"/>
              <w:rPr>
                <w:sz w:val="21"/>
                <w:szCs w:val="21"/>
              </w:rPr>
            </w:pPr>
            <w:r>
              <w:rPr>
                <w:sz w:val="21"/>
                <w:szCs w:val="21"/>
              </w:rPr>
              <w:t>46.8</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新城子、东陵区</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22</w:t>
            </w:r>
          </w:p>
        </w:tc>
        <w:tc>
          <w:tcPr>
            <w:tcW w:w="484" w:type="pct"/>
            <w:vMerge w:val="continue"/>
            <w:vAlign w:val="center"/>
          </w:tcPr>
          <w:p>
            <w:pPr>
              <w:spacing w:line="280" w:lineRule="exact"/>
              <w:ind w:firstLine="0" w:firstLineChars="0"/>
              <w:jc w:val="center"/>
              <w:rPr>
                <w:sz w:val="21"/>
                <w:szCs w:val="21"/>
              </w:rPr>
            </w:pP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蒲河</w:t>
            </w:r>
          </w:p>
        </w:tc>
        <w:tc>
          <w:tcPr>
            <w:tcW w:w="1340" w:type="pct"/>
            <w:vAlign w:val="center"/>
          </w:tcPr>
          <w:p>
            <w:pPr>
              <w:spacing w:line="280" w:lineRule="exact"/>
              <w:ind w:firstLine="0" w:firstLineChars="0"/>
              <w:jc w:val="center"/>
              <w:rPr>
                <w:sz w:val="21"/>
                <w:szCs w:val="21"/>
              </w:rPr>
            </w:pPr>
            <w:r>
              <w:rPr>
                <w:rFonts w:hint="eastAsia" w:cs="仿宋"/>
                <w:sz w:val="21"/>
                <w:szCs w:val="21"/>
              </w:rPr>
              <w:t>石砬子</w:t>
            </w:r>
            <w:r>
              <w:rPr>
                <w:sz w:val="21"/>
                <w:szCs w:val="21"/>
              </w:rPr>
              <w:t>-</w:t>
            </w:r>
            <w:r>
              <w:rPr>
                <w:rFonts w:hint="eastAsia" w:cs="仿宋"/>
                <w:sz w:val="21"/>
                <w:szCs w:val="21"/>
              </w:rPr>
              <w:t>棋盘山水库</w:t>
            </w:r>
          </w:p>
        </w:tc>
        <w:tc>
          <w:tcPr>
            <w:tcW w:w="826" w:type="pct"/>
            <w:vAlign w:val="center"/>
          </w:tcPr>
          <w:p>
            <w:pPr>
              <w:spacing w:line="280" w:lineRule="exact"/>
              <w:ind w:firstLine="0" w:firstLineChars="0"/>
              <w:jc w:val="center"/>
              <w:rPr>
                <w:sz w:val="21"/>
                <w:szCs w:val="21"/>
              </w:rPr>
            </w:pPr>
            <w:r>
              <w:rPr>
                <w:sz w:val="21"/>
                <w:szCs w:val="21"/>
              </w:rPr>
              <w:t>12.6</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东陵、新城子</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23</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棋盘山水库大坝</w:t>
            </w:r>
            <w:r>
              <w:rPr>
                <w:sz w:val="21"/>
                <w:szCs w:val="21"/>
              </w:rPr>
              <w:t>-</w:t>
            </w:r>
            <w:r>
              <w:rPr>
                <w:rFonts w:hint="eastAsia" w:cs="仿宋"/>
                <w:sz w:val="21"/>
                <w:szCs w:val="21"/>
              </w:rPr>
              <w:t>入浑河口处</w:t>
            </w:r>
          </w:p>
        </w:tc>
        <w:tc>
          <w:tcPr>
            <w:tcW w:w="826" w:type="pct"/>
            <w:vAlign w:val="center"/>
          </w:tcPr>
          <w:p>
            <w:pPr>
              <w:spacing w:line="280" w:lineRule="exact"/>
              <w:ind w:firstLine="0" w:firstLineChars="0"/>
              <w:jc w:val="center"/>
              <w:rPr>
                <w:sz w:val="21"/>
                <w:szCs w:val="21"/>
              </w:rPr>
            </w:pPr>
            <w:r>
              <w:rPr>
                <w:sz w:val="21"/>
                <w:szCs w:val="21"/>
              </w:rPr>
              <w:t>139.5</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东陵、新城子、辽中县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24</w:t>
            </w:r>
          </w:p>
        </w:tc>
        <w:tc>
          <w:tcPr>
            <w:tcW w:w="484" w:type="pct"/>
            <w:vMerge w:val="restart"/>
            <w:vAlign w:val="center"/>
          </w:tcPr>
          <w:p>
            <w:pPr>
              <w:spacing w:line="280" w:lineRule="exact"/>
              <w:ind w:firstLine="0" w:firstLineChars="0"/>
              <w:jc w:val="center"/>
              <w:rPr>
                <w:sz w:val="21"/>
                <w:szCs w:val="21"/>
              </w:rPr>
            </w:pPr>
            <w:r>
              <w:rPr>
                <w:rFonts w:hint="eastAsia" w:cs="仿宋"/>
                <w:sz w:val="21"/>
                <w:szCs w:val="21"/>
              </w:rPr>
              <w:t>太子河</w:t>
            </w:r>
          </w:p>
        </w:tc>
        <w:tc>
          <w:tcPr>
            <w:tcW w:w="541" w:type="pct"/>
            <w:vMerge w:val="restart"/>
            <w:vAlign w:val="center"/>
          </w:tcPr>
          <w:p>
            <w:pPr>
              <w:spacing w:line="280" w:lineRule="exact"/>
              <w:ind w:firstLine="0" w:firstLineChars="0"/>
              <w:jc w:val="center"/>
              <w:rPr>
                <w:sz w:val="21"/>
                <w:szCs w:val="21"/>
              </w:rPr>
            </w:pPr>
            <w:r>
              <w:rPr>
                <w:rFonts w:hint="eastAsia" w:cs="仿宋"/>
                <w:sz w:val="21"/>
                <w:szCs w:val="21"/>
              </w:rPr>
              <w:t>北沙河</w:t>
            </w:r>
          </w:p>
        </w:tc>
        <w:tc>
          <w:tcPr>
            <w:tcW w:w="1340" w:type="pct"/>
            <w:vAlign w:val="center"/>
          </w:tcPr>
          <w:p>
            <w:pPr>
              <w:spacing w:line="280" w:lineRule="exact"/>
              <w:ind w:firstLine="0" w:firstLineChars="0"/>
              <w:jc w:val="center"/>
              <w:rPr>
                <w:sz w:val="21"/>
                <w:szCs w:val="21"/>
              </w:rPr>
            </w:pPr>
            <w:r>
              <w:rPr>
                <w:rFonts w:hint="eastAsia" w:cs="仿宋"/>
                <w:sz w:val="21"/>
                <w:szCs w:val="21"/>
              </w:rPr>
              <w:t>唐家台</w:t>
            </w:r>
            <w:r>
              <w:rPr>
                <w:sz w:val="21"/>
                <w:szCs w:val="21"/>
              </w:rPr>
              <w:t>-</w:t>
            </w:r>
            <w:r>
              <w:rPr>
                <w:rFonts w:hint="eastAsia" w:cs="仿宋"/>
                <w:sz w:val="21"/>
                <w:szCs w:val="21"/>
              </w:rPr>
              <w:t>苏家屯排污口</w:t>
            </w:r>
          </w:p>
        </w:tc>
        <w:tc>
          <w:tcPr>
            <w:tcW w:w="826" w:type="pct"/>
            <w:vAlign w:val="center"/>
          </w:tcPr>
          <w:p>
            <w:pPr>
              <w:spacing w:line="280" w:lineRule="exact"/>
              <w:ind w:firstLine="0" w:firstLineChars="0"/>
              <w:jc w:val="center"/>
              <w:rPr>
                <w:sz w:val="21"/>
                <w:szCs w:val="21"/>
              </w:rPr>
            </w:pPr>
            <w:r>
              <w:rPr>
                <w:sz w:val="21"/>
                <w:szCs w:val="21"/>
              </w:rPr>
              <w:t>41.4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苏家屯</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25</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苏家屯排污口</w:t>
            </w:r>
            <w:r>
              <w:rPr>
                <w:sz w:val="21"/>
                <w:szCs w:val="21"/>
              </w:rPr>
              <w:t>-</w:t>
            </w:r>
            <w:r>
              <w:rPr>
                <w:rFonts w:hint="eastAsia" w:cs="仿宋"/>
                <w:sz w:val="21"/>
                <w:szCs w:val="21"/>
              </w:rPr>
              <w:t>红菱桥</w:t>
            </w:r>
          </w:p>
        </w:tc>
        <w:tc>
          <w:tcPr>
            <w:tcW w:w="826" w:type="pct"/>
            <w:vAlign w:val="center"/>
          </w:tcPr>
          <w:p>
            <w:pPr>
              <w:spacing w:line="280" w:lineRule="exact"/>
              <w:ind w:firstLine="0" w:firstLineChars="0"/>
              <w:jc w:val="center"/>
              <w:rPr>
                <w:sz w:val="21"/>
                <w:szCs w:val="21"/>
              </w:rPr>
            </w:pPr>
            <w:r>
              <w:rPr>
                <w:sz w:val="21"/>
                <w:szCs w:val="21"/>
              </w:rPr>
              <w:t>1.4</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苏家屯</w:t>
            </w:r>
          </w:p>
        </w:tc>
        <w:tc>
          <w:tcPr>
            <w:tcW w:w="597" w:type="pct"/>
            <w:vAlign w:val="center"/>
          </w:tcPr>
          <w:p>
            <w:pPr>
              <w:spacing w:line="280" w:lineRule="exact"/>
              <w:ind w:firstLine="0" w:firstLineChars="0"/>
              <w:jc w:val="center"/>
              <w:rPr>
                <w:sz w:val="21"/>
                <w:szCs w:val="21"/>
              </w:rPr>
            </w:pPr>
            <w:r>
              <w:rPr>
                <w:rFonts w:hint="eastAsia" w:cs="仿宋"/>
                <w:sz w:val="21"/>
                <w:szCs w:val="21"/>
              </w:rPr>
              <w:t>混合区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26</w:t>
            </w:r>
          </w:p>
        </w:tc>
        <w:tc>
          <w:tcPr>
            <w:tcW w:w="484" w:type="pct"/>
            <w:vMerge w:val="continue"/>
            <w:vAlign w:val="center"/>
          </w:tcPr>
          <w:p>
            <w:pPr>
              <w:spacing w:line="280" w:lineRule="exact"/>
              <w:ind w:firstLine="0" w:firstLineChars="0"/>
              <w:jc w:val="center"/>
              <w:rPr>
                <w:sz w:val="21"/>
                <w:szCs w:val="21"/>
              </w:rPr>
            </w:pPr>
          </w:p>
        </w:tc>
        <w:tc>
          <w:tcPr>
            <w:tcW w:w="541" w:type="pct"/>
            <w:vMerge w:val="continue"/>
            <w:vAlign w:val="center"/>
          </w:tcPr>
          <w:p>
            <w:pPr>
              <w:spacing w:line="280" w:lineRule="exact"/>
              <w:ind w:firstLine="0" w:firstLineChars="0"/>
              <w:jc w:val="center"/>
              <w:rPr>
                <w:sz w:val="21"/>
                <w:szCs w:val="21"/>
              </w:rPr>
            </w:pPr>
          </w:p>
        </w:tc>
        <w:tc>
          <w:tcPr>
            <w:tcW w:w="1340" w:type="pct"/>
            <w:vAlign w:val="center"/>
          </w:tcPr>
          <w:p>
            <w:pPr>
              <w:spacing w:line="280" w:lineRule="exact"/>
              <w:ind w:firstLine="0" w:firstLineChars="0"/>
              <w:jc w:val="center"/>
              <w:rPr>
                <w:sz w:val="21"/>
                <w:szCs w:val="21"/>
              </w:rPr>
            </w:pPr>
            <w:r>
              <w:rPr>
                <w:rFonts w:hint="eastAsia" w:cs="仿宋"/>
                <w:sz w:val="21"/>
                <w:szCs w:val="21"/>
              </w:rPr>
              <w:t>红菱桥</w:t>
            </w:r>
            <w:r>
              <w:rPr>
                <w:sz w:val="21"/>
                <w:szCs w:val="21"/>
              </w:rPr>
              <w:t>-</w:t>
            </w:r>
            <w:r>
              <w:rPr>
                <w:rFonts w:hint="eastAsia" w:cs="仿宋"/>
                <w:sz w:val="21"/>
                <w:szCs w:val="21"/>
              </w:rPr>
              <w:t>烟台村</w:t>
            </w:r>
          </w:p>
        </w:tc>
        <w:tc>
          <w:tcPr>
            <w:tcW w:w="826" w:type="pct"/>
            <w:vAlign w:val="center"/>
          </w:tcPr>
          <w:p>
            <w:pPr>
              <w:spacing w:line="280" w:lineRule="exact"/>
              <w:ind w:firstLine="0" w:firstLineChars="0"/>
              <w:jc w:val="center"/>
              <w:rPr>
                <w:sz w:val="21"/>
                <w:szCs w:val="21"/>
              </w:rPr>
            </w:pPr>
            <w:r>
              <w:rPr>
                <w:sz w:val="21"/>
                <w:szCs w:val="21"/>
              </w:rPr>
              <w:t>4.2</w:t>
            </w:r>
            <w:r>
              <w:rPr>
                <w:rFonts w:hint="eastAsia" w:cs="仿宋"/>
                <w:sz w:val="21"/>
                <w:szCs w:val="21"/>
              </w:rPr>
              <w:t>千米</w:t>
            </w:r>
          </w:p>
        </w:tc>
        <w:tc>
          <w:tcPr>
            <w:tcW w:w="845" w:type="pct"/>
            <w:vAlign w:val="center"/>
          </w:tcPr>
          <w:p>
            <w:pPr>
              <w:spacing w:line="280" w:lineRule="exact"/>
              <w:ind w:firstLine="0" w:firstLineChars="0"/>
              <w:jc w:val="center"/>
              <w:rPr>
                <w:sz w:val="21"/>
                <w:szCs w:val="21"/>
              </w:rPr>
            </w:pPr>
            <w:r>
              <w:rPr>
                <w:rFonts w:hint="eastAsia" w:cs="仿宋"/>
                <w:sz w:val="21"/>
                <w:szCs w:val="21"/>
              </w:rPr>
              <w:t>苏家屯</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27</w:t>
            </w:r>
          </w:p>
        </w:tc>
        <w:tc>
          <w:tcPr>
            <w:tcW w:w="1024" w:type="pct"/>
            <w:gridSpan w:val="2"/>
            <w:vAlign w:val="center"/>
          </w:tcPr>
          <w:p>
            <w:pPr>
              <w:spacing w:line="280" w:lineRule="exact"/>
              <w:ind w:firstLine="0" w:firstLineChars="0"/>
              <w:jc w:val="center"/>
              <w:rPr>
                <w:sz w:val="21"/>
                <w:szCs w:val="21"/>
              </w:rPr>
            </w:pPr>
            <w:r>
              <w:rPr>
                <w:rFonts w:hint="eastAsia" w:cs="仿宋"/>
                <w:sz w:val="21"/>
                <w:szCs w:val="21"/>
              </w:rPr>
              <w:t>卧龙湖</w:t>
            </w:r>
          </w:p>
        </w:tc>
        <w:tc>
          <w:tcPr>
            <w:tcW w:w="1340" w:type="pct"/>
            <w:vAlign w:val="center"/>
          </w:tcPr>
          <w:p>
            <w:pPr>
              <w:spacing w:line="280" w:lineRule="exact"/>
              <w:ind w:firstLine="0" w:firstLineChars="0"/>
              <w:jc w:val="center"/>
              <w:rPr>
                <w:sz w:val="21"/>
                <w:szCs w:val="21"/>
              </w:rPr>
            </w:pPr>
            <w:r>
              <w:rPr>
                <w:rFonts w:hint="eastAsia" w:cs="仿宋"/>
                <w:sz w:val="21"/>
                <w:szCs w:val="21"/>
              </w:rPr>
              <w:t>湖泊全水域</w:t>
            </w:r>
          </w:p>
        </w:tc>
        <w:tc>
          <w:tcPr>
            <w:tcW w:w="826" w:type="pct"/>
            <w:vAlign w:val="center"/>
          </w:tcPr>
          <w:p>
            <w:pPr>
              <w:spacing w:line="280" w:lineRule="exact"/>
              <w:ind w:firstLine="0" w:firstLineChars="0"/>
              <w:jc w:val="center"/>
              <w:rPr>
                <w:sz w:val="21"/>
                <w:szCs w:val="21"/>
              </w:rPr>
            </w:pPr>
          </w:p>
        </w:tc>
        <w:tc>
          <w:tcPr>
            <w:tcW w:w="845" w:type="pct"/>
            <w:vAlign w:val="center"/>
          </w:tcPr>
          <w:p>
            <w:pPr>
              <w:spacing w:line="280" w:lineRule="exact"/>
              <w:ind w:firstLine="0" w:firstLineChars="0"/>
              <w:jc w:val="center"/>
              <w:rPr>
                <w:sz w:val="21"/>
                <w:szCs w:val="21"/>
              </w:rPr>
            </w:pPr>
            <w:r>
              <w:rPr>
                <w:rFonts w:hint="eastAsia" w:cs="仿宋"/>
                <w:sz w:val="21"/>
                <w:szCs w:val="21"/>
              </w:rPr>
              <w:t>康平县</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7" w:type="pct"/>
            <w:vAlign w:val="center"/>
          </w:tcPr>
          <w:p>
            <w:pPr>
              <w:spacing w:line="280" w:lineRule="exact"/>
              <w:ind w:firstLine="0" w:firstLineChars="0"/>
              <w:jc w:val="center"/>
              <w:rPr>
                <w:sz w:val="21"/>
                <w:szCs w:val="21"/>
              </w:rPr>
            </w:pPr>
            <w:r>
              <w:rPr>
                <w:sz w:val="21"/>
                <w:szCs w:val="21"/>
              </w:rPr>
              <w:t>28</w:t>
            </w:r>
          </w:p>
        </w:tc>
        <w:tc>
          <w:tcPr>
            <w:tcW w:w="1024" w:type="pct"/>
            <w:gridSpan w:val="2"/>
            <w:vAlign w:val="center"/>
          </w:tcPr>
          <w:p>
            <w:pPr>
              <w:spacing w:line="280" w:lineRule="exact"/>
              <w:ind w:firstLine="0" w:firstLineChars="0"/>
              <w:jc w:val="center"/>
              <w:rPr>
                <w:sz w:val="21"/>
                <w:szCs w:val="21"/>
              </w:rPr>
            </w:pPr>
            <w:r>
              <w:rPr>
                <w:rFonts w:hint="eastAsia" w:cs="仿宋"/>
                <w:sz w:val="21"/>
                <w:szCs w:val="21"/>
              </w:rPr>
              <w:t>棋盘山水库</w:t>
            </w:r>
          </w:p>
        </w:tc>
        <w:tc>
          <w:tcPr>
            <w:tcW w:w="1340" w:type="pct"/>
            <w:vAlign w:val="center"/>
          </w:tcPr>
          <w:p>
            <w:pPr>
              <w:spacing w:line="280" w:lineRule="exact"/>
              <w:ind w:firstLine="0" w:firstLineChars="0"/>
              <w:jc w:val="center"/>
              <w:rPr>
                <w:sz w:val="21"/>
                <w:szCs w:val="21"/>
              </w:rPr>
            </w:pPr>
            <w:r>
              <w:rPr>
                <w:rFonts w:hint="eastAsia" w:cs="仿宋"/>
                <w:sz w:val="21"/>
                <w:szCs w:val="21"/>
              </w:rPr>
              <w:t>全水域</w:t>
            </w:r>
          </w:p>
        </w:tc>
        <w:tc>
          <w:tcPr>
            <w:tcW w:w="826" w:type="pct"/>
            <w:vAlign w:val="center"/>
          </w:tcPr>
          <w:p>
            <w:pPr>
              <w:spacing w:line="280" w:lineRule="exact"/>
              <w:ind w:firstLine="0" w:firstLineChars="0"/>
              <w:jc w:val="center"/>
              <w:rPr>
                <w:sz w:val="21"/>
                <w:szCs w:val="21"/>
              </w:rPr>
            </w:pPr>
          </w:p>
        </w:tc>
        <w:tc>
          <w:tcPr>
            <w:tcW w:w="845" w:type="pct"/>
            <w:vAlign w:val="center"/>
          </w:tcPr>
          <w:p>
            <w:pPr>
              <w:spacing w:line="280" w:lineRule="exact"/>
              <w:ind w:firstLine="0" w:firstLineChars="0"/>
              <w:jc w:val="center"/>
              <w:rPr>
                <w:sz w:val="21"/>
                <w:szCs w:val="21"/>
              </w:rPr>
            </w:pPr>
            <w:r>
              <w:rPr>
                <w:rFonts w:hint="eastAsia" w:cs="仿宋"/>
                <w:sz w:val="21"/>
                <w:szCs w:val="21"/>
              </w:rPr>
              <w:t>东陵区</w:t>
            </w:r>
          </w:p>
        </w:tc>
        <w:tc>
          <w:tcPr>
            <w:tcW w:w="597" w:type="pct"/>
            <w:vAlign w:val="center"/>
          </w:tcPr>
          <w:p>
            <w:pPr>
              <w:spacing w:line="280" w:lineRule="exact"/>
              <w:ind w:firstLine="0" w:firstLineChars="0"/>
              <w:jc w:val="center"/>
              <w:rPr>
                <w:sz w:val="21"/>
                <w:szCs w:val="21"/>
              </w:rPr>
            </w:pPr>
            <w:r>
              <w:rPr>
                <w:rFonts w:hint="eastAsia" w:ascii="宋体" w:hAnsi="宋体" w:eastAsia="宋体" w:cs="宋体"/>
                <w:sz w:val="21"/>
                <w:szCs w:val="21"/>
              </w:rPr>
              <w:t>Ⅲ</w:t>
            </w:r>
          </w:p>
        </w:tc>
      </w:tr>
    </w:tbl>
    <w:p>
      <w:pPr>
        <w:pStyle w:val="4"/>
      </w:pPr>
      <w:r>
        <w:t>2.3.2</w:t>
      </w:r>
      <w:r>
        <w:rPr>
          <w:rFonts w:hint="eastAsia" w:cs="仿宋"/>
        </w:rPr>
        <w:t>环境概况</w:t>
      </w:r>
    </w:p>
    <w:p>
      <w:pPr>
        <w:ind w:firstLine="31680"/>
      </w:pPr>
      <w:r>
        <w:rPr>
          <w:rFonts w:hint="eastAsia" w:cs="仿宋"/>
        </w:rPr>
        <w:t>（</w:t>
      </w:r>
      <w:r>
        <w:t>1</w:t>
      </w:r>
      <w:r>
        <w:rPr>
          <w:rFonts w:hint="eastAsia" w:cs="仿宋"/>
        </w:rPr>
        <w:t>）环境空气质量</w:t>
      </w:r>
    </w:p>
    <w:p>
      <w:pPr>
        <w:ind w:firstLine="31680"/>
      </w:pPr>
      <w:r>
        <w:t>2016</w:t>
      </w:r>
      <w:r>
        <w:rPr>
          <w:rFonts w:hint="eastAsia" w:cs="仿宋"/>
        </w:rPr>
        <w:t>年至</w:t>
      </w:r>
      <w:r>
        <w:t>2019</w:t>
      </w:r>
      <w:r>
        <w:rPr>
          <w:rFonts w:hint="eastAsia" w:cs="仿宋"/>
        </w:rPr>
        <w:t>年底，我市环境空气质量持续改善，优良天数（</w:t>
      </w:r>
      <w:r>
        <w:t>AQI</w:t>
      </w:r>
      <w:r>
        <w:rPr>
          <w:rFonts w:hint="eastAsia" w:cs="仿宋"/>
        </w:rPr>
        <w:t>≤</w:t>
      </w:r>
      <w:r>
        <w:t>100</w:t>
      </w:r>
      <w:r>
        <w:rPr>
          <w:rFonts w:hint="eastAsia" w:cs="仿宋"/>
        </w:rPr>
        <w:t>）比例较</w:t>
      </w:r>
      <w:r>
        <w:t>2015</w:t>
      </w:r>
      <w:r>
        <w:rPr>
          <w:rFonts w:hint="eastAsia" w:cs="仿宋"/>
        </w:rPr>
        <w:t>年提升</w:t>
      </w:r>
      <w:r>
        <w:t>21</w:t>
      </w:r>
      <w:r>
        <w:rPr>
          <w:rFonts w:hint="eastAsia" w:cs="仿宋"/>
        </w:rPr>
        <w:t>个百分点（</w:t>
      </w:r>
      <w:r>
        <w:t>2015</w:t>
      </w:r>
      <w:r>
        <w:rPr>
          <w:rFonts w:hint="eastAsia" w:cs="仿宋"/>
        </w:rPr>
        <w:t>年</w:t>
      </w:r>
      <w:r>
        <w:t>207</w:t>
      </w:r>
      <w:r>
        <w:rPr>
          <w:rFonts w:hint="eastAsia" w:cs="仿宋"/>
        </w:rPr>
        <w:t>天，占比</w:t>
      </w:r>
      <w:r>
        <w:t>56.7%</w:t>
      </w:r>
      <w:r>
        <w:rPr>
          <w:rFonts w:hint="eastAsia" w:cs="仿宋"/>
        </w:rPr>
        <w:t>；</w:t>
      </w:r>
      <w:r>
        <w:t>2019</w:t>
      </w:r>
      <w:r>
        <w:rPr>
          <w:rFonts w:hint="eastAsia" w:cs="仿宋"/>
        </w:rPr>
        <w:t>年</w:t>
      </w:r>
      <w:r>
        <w:t>284</w:t>
      </w:r>
      <w:r>
        <w:rPr>
          <w:rFonts w:hint="eastAsia" w:cs="仿宋"/>
        </w:rPr>
        <w:t>天，占比</w:t>
      </w:r>
      <w:r>
        <w:t>77.8%</w:t>
      </w:r>
      <w:r>
        <w:rPr>
          <w:rFonts w:hint="eastAsia" w:cs="仿宋"/>
        </w:rPr>
        <w:t>），接近全国平均水平；二氧化硫、氮氧化物、可吸入颗粒物（</w:t>
      </w:r>
      <w:r>
        <w:t>PM10</w:t>
      </w:r>
      <w:r>
        <w:rPr>
          <w:rFonts w:hint="eastAsia" w:cs="仿宋"/>
        </w:rPr>
        <w:t>）、细颗粒物（</w:t>
      </w:r>
      <w:r>
        <w:t>PM2.5</w:t>
      </w:r>
      <w:r>
        <w:rPr>
          <w:rFonts w:hint="eastAsia" w:cs="仿宋"/>
        </w:rPr>
        <w:t>）等主要污染物浓度较“十二五”末期均出现大幅降低，降幅分别为</w:t>
      </w:r>
      <w:r>
        <w:t>68.2%</w:t>
      </w:r>
      <w:r>
        <w:rPr>
          <w:rFonts w:hint="eastAsia" w:cs="仿宋"/>
        </w:rPr>
        <w:t>、</w:t>
      </w:r>
      <w:r>
        <w:t>25%</w:t>
      </w:r>
      <w:r>
        <w:rPr>
          <w:rFonts w:hint="eastAsia" w:cs="仿宋"/>
        </w:rPr>
        <w:t>、</w:t>
      </w:r>
      <w:r>
        <w:t>33%</w:t>
      </w:r>
      <w:r>
        <w:rPr>
          <w:rFonts w:hint="eastAsia" w:cs="仿宋"/>
        </w:rPr>
        <w:t>和</w:t>
      </w:r>
      <w:r>
        <w:t>40.3%</w:t>
      </w:r>
      <w:r>
        <w:rPr>
          <w:rFonts w:hint="eastAsia" w:cs="仿宋"/>
        </w:rPr>
        <w:t>；臭氧指标出现波动，</w:t>
      </w:r>
      <w:r>
        <w:t>2019</w:t>
      </w:r>
      <w:r>
        <w:rPr>
          <w:rFonts w:hint="eastAsia" w:cs="仿宋"/>
        </w:rPr>
        <w:t>年虽达到二级标准，与</w:t>
      </w:r>
      <w:r>
        <w:t>2015</w:t>
      </w:r>
      <w:r>
        <w:rPr>
          <w:rFonts w:hint="eastAsia" w:cs="仿宋"/>
        </w:rPr>
        <w:t>年浓度持平，达标仍不稳固。“十三五”期间（截至今年</w:t>
      </w:r>
      <w:r>
        <w:t>10</w:t>
      </w:r>
      <w:r>
        <w:rPr>
          <w:rFonts w:hint="eastAsia" w:cs="仿宋"/>
        </w:rPr>
        <w:t>月中旬），二氧化硫、氮氧化物分别累积减排</w:t>
      </w:r>
      <w:r>
        <w:t>38987</w:t>
      </w:r>
      <w:r>
        <w:rPr>
          <w:rFonts w:hint="eastAsia" w:cs="仿宋"/>
        </w:rPr>
        <w:t>吨、</w:t>
      </w:r>
      <w:r>
        <w:t>30087</w:t>
      </w:r>
      <w:r>
        <w:rPr>
          <w:rFonts w:hint="eastAsia" w:cs="仿宋"/>
        </w:rPr>
        <w:t>吨，比</w:t>
      </w:r>
      <w:r>
        <w:t>2015</w:t>
      </w:r>
      <w:r>
        <w:rPr>
          <w:rFonts w:hint="eastAsia" w:cs="仿宋"/>
        </w:rPr>
        <w:t>年累计削减</w:t>
      </w:r>
      <w:r>
        <w:t>38.49%</w:t>
      </w:r>
      <w:r>
        <w:rPr>
          <w:rFonts w:hint="eastAsia" w:cs="仿宋"/>
        </w:rPr>
        <w:t>、</w:t>
      </w:r>
      <w:r>
        <w:t>36.40%</w:t>
      </w:r>
      <w:r>
        <w:rPr>
          <w:rFonts w:hint="eastAsia" w:cs="仿宋"/>
        </w:rPr>
        <w:t>，提前完成国家下达减排任务（</w:t>
      </w:r>
      <w:r>
        <w:t>16.5%</w:t>
      </w:r>
      <w:r>
        <w:rPr>
          <w:rFonts w:hint="eastAsia" w:cs="仿宋"/>
        </w:rPr>
        <w:t>、</w:t>
      </w:r>
      <w:r>
        <w:t>17.2%</w:t>
      </w:r>
      <w:r>
        <w:rPr>
          <w:rFonts w:hint="eastAsia" w:cs="仿宋"/>
        </w:rPr>
        <w:t>）。</w:t>
      </w:r>
      <w:r>
        <w:t>2020</w:t>
      </w:r>
      <w:r>
        <w:rPr>
          <w:rFonts w:hint="eastAsia" w:cs="仿宋"/>
        </w:rPr>
        <w:t>年，沈阳市</w:t>
      </w:r>
      <w:r>
        <w:t>PM</w:t>
      </w:r>
      <w:r>
        <w:rPr>
          <w:vertAlign w:val="subscript"/>
        </w:rPr>
        <w:t>2.5</w:t>
      </w:r>
      <w:r>
        <w:rPr>
          <w:rFonts w:hint="eastAsia" w:cs="仿宋"/>
        </w:rPr>
        <w:t>、</w:t>
      </w:r>
      <w:r>
        <w:t>PM</w:t>
      </w:r>
      <w:r>
        <w:rPr>
          <w:vertAlign w:val="subscript"/>
        </w:rPr>
        <w:t>10</w:t>
      </w:r>
      <w:r>
        <w:rPr>
          <w:rFonts w:hint="eastAsia" w:cs="仿宋"/>
        </w:rPr>
        <w:t>浓度分别为</w:t>
      </w:r>
      <w:r>
        <w:t>42</w:t>
      </w:r>
      <w:r>
        <w:rPr>
          <w:rFonts w:hint="eastAsia" w:cs="仿宋"/>
        </w:rPr>
        <w:t>微克</w:t>
      </w:r>
      <w:r>
        <w:t>/</w:t>
      </w:r>
      <w:r>
        <w:rPr>
          <w:rFonts w:hint="eastAsia" w:cs="仿宋"/>
        </w:rPr>
        <w:t>立方米和</w:t>
      </w:r>
      <w:r>
        <w:t>74</w:t>
      </w:r>
      <w:r>
        <w:rPr>
          <w:rFonts w:hint="eastAsia" w:cs="仿宋"/>
        </w:rPr>
        <w:t>微克</w:t>
      </w:r>
      <w:r>
        <w:t>/</w:t>
      </w:r>
      <w:r>
        <w:rPr>
          <w:rFonts w:hint="eastAsia" w:cs="仿宋"/>
        </w:rPr>
        <w:t>立方米，环境空气质量优良天数</w:t>
      </w:r>
      <w:r>
        <w:t>287</w:t>
      </w:r>
      <w:r>
        <w:rPr>
          <w:rFonts w:hint="eastAsia" w:cs="仿宋"/>
        </w:rPr>
        <w:t>天，占比</w:t>
      </w:r>
      <w:r>
        <w:t>78.6%</w:t>
      </w:r>
      <w:r>
        <w:rPr>
          <w:rFonts w:hint="eastAsia" w:cs="仿宋"/>
        </w:rPr>
        <w:t>。</w:t>
      </w:r>
    </w:p>
    <w:p>
      <w:pPr>
        <w:ind w:firstLine="31680"/>
      </w:pPr>
      <w:r>
        <w:rPr>
          <w:rFonts w:hint="eastAsia" w:cs="仿宋"/>
        </w:rPr>
        <w:t>（</w:t>
      </w:r>
      <w:r>
        <w:t>2</w:t>
      </w:r>
      <w:r>
        <w:rPr>
          <w:rFonts w:hint="eastAsia" w:cs="仿宋"/>
        </w:rPr>
        <w:t>）水环境质量</w:t>
      </w:r>
    </w:p>
    <w:p>
      <w:pPr>
        <w:ind w:firstLine="31680"/>
      </w:pPr>
      <w:r>
        <w:t>2016</w:t>
      </w:r>
      <w:r>
        <w:rPr>
          <w:rFonts w:hint="eastAsia" w:cs="仿宋"/>
        </w:rPr>
        <w:t>年至</w:t>
      </w:r>
      <w:r>
        <w:t>2019</w:t>
      </w:r>
      <w:r>
        <w:rPr>
          <w:rFonts w:hint="eastAsia" w:cs="仿宋"/>
        </w:rPr>
        <w:t>年底，沈阳市地表水环境质量逐年改善，全市</w:t>
      </w:r>
      <w:r>
        <w:t>17</w:t>
      </w:r>
      <w:r>
        <w:rPr>
          <w:rFonts w:hint="eastAsia" w:cs="仿宋"/>
        </w:rPr>
        <w:t>个省考以上断面劣</w:t>
      </w:r>
      <w:r>
        <w:t>V</w:t>
      </w:r>
      <w:r>
        <w:rPr>
          <w:rFonts w:hint="eastAsia" w:cs="仿宋"/>
        </w:rPr>
        <w:t>类比例下降</w:t>
      </w:r>
      <w:r>
        <w:t>23.5%</w:t>
      </w:r>
      <w:r>
        <w:rPr>
          <w:rFonts w:hint="eastAsia" w:cs="仿宋"/>
        </w:rPr>
        <w:t>（</w:t>
      </w:r>
      <w:r>
        <w:t>2016</w:t>
      </w:r>
      <w:r>
        <w:rPr>
          <w:rFonts w:hint="eastAsia" w:cs="仿宋"/>
        </w:rPr>
        <w:t>年劣</w:t>
      </w:r>
      <w:r>
        <w:t>V</w:t>
      </w:r>
      <w:r>
        <w:rPr>
          <w:rFonts w:hint="eastAsia" w:cs="仿宋"/>
        </w:rPr>
        <w:t>类断面</w:t>
      </w:r>
      <w:r>
        <w:t>6</w:t>
      </w:r>
      <w:r>
        <w:rPr>
          <w:rFonts w:hint="eastAsia" w:cs="仿宋"/>
        </w:rPr>
        <w:t>个，占比</w:t>
      </w:r>
      <w:r>
        <w:t>35.29%</w:t>
      </w:r>
      <w:r>
        <w:rPr>
          <w:rFonts w:hint="eastAsia" w:cs="仿宋"/>
        </w:rPr>
        <w:t>；</w:t>
      </w:r>
      <w:r>
        <w:t>2019</w:t>
      </w:r>
      <w:r>
        <w:rPr>
          <w:rFonts w:hint="eastAsia" w:cs="仿宋"/>
        </w:rPr>
        <w:t>年劣</w:t>
      </w:r>
      <w:r>
        <w:t>V</w:t>
      </w:r>
      <w:r>
        <w:rPr>
          <w:rFonts w:hint="eastAsia" w:cs="仿宋"/>
        </w:rPr>
        <w:t>类断面</w:t>
      </w:r>
      <w:r>
        <w:t>2</w:t>
      </w:r>
      <w:r>
        <w:rPr>
          <w:rFonts w:hint="eastAsia" w:cs="仿宋"/>
        </w:rPr>
        <w:t>个，占比</w:t>
      </w:r>
      <w:r>
        <w:t>11.76%</w:t>
      </w:r>
      <w:r>
        <w:rPr>
          <w:rFonts w:hint="eastAsia" w:cs="仿宋"/>
        </w:rPr>
        <w:t>），优于</w:t>
      </w:r>
      <w:r>
        <w:t>III</w:t>
      </w:r>
      <w:r>
        <w:rPr>
          <w:rFonts w:hint="eastAsia" w:cs="仿宋"/>
        </w:rPr>
        <w:t>类（含）的断面数量比例由</w:t>
      </w:r>
      <w:r>
        <w:t>0</w:t>
      </w:r>
      <w:r>
        <w:rPr>
          <w:rFonts w:hint="eastAsia" w:cs="仿宋"/>
        </w:rPr>
        <w:t>提升至</w:t>
      </w:r>
      <w:r>
        <w:t>29.4%</w:t>
      </w:r>
      <w:r>
        <w:rPr>
          <w:rFonts w:hint="eastAsia" w:cs="仿宋"/>
        </w:rPr>
        <w:t>（</w:t>
      </w:r>
      <w:r>
        <w:t>2016</w:t>
      </w:r>
      <w:r>
        <w:rPr>
          <w:rFonts w:hint="eastAsia" w:cs="仿宋"/>
        </w:rPr>
        <w:t>年为</w:t>
      </w:r>
      <w:r>
        <w:t>0</w:t>
      </w:r>
      <w:r>
        <w:rPr>
          <w:rFonts w:hint="eastAsia" w:cs="仿宋"/>
        </w:rPr>
        <w:t>；</w:t>
      </w:r>
      <w:r>
        <w:t>2019</w:t>
      </w:r>
      <w:r>
        <w:rPr>
          <w:rFonts w:hint="eastAsia" w:cs="仿宋"/>
        </w:rPr>
        <w:t>年优于</w:t>
      </w:r>
      <w:r>
        <w:t>III</w:t>
      </w:r>
      <w:r>
        <w:rPr>
          <w:rFonts w:hint="eastAsia" w:cs="仿宋"/>
        </w:rPr>
        <w:t>类断面</w:t>
      </w:r>
      <w:r>
        <w:t>5</w:t>
      </w:r>
      <w:r>
        <w:rPr>
          <w:rFonts w:hint="eastAsia" w:cs="仿宋"/>
        </w:rPr>
        <w:t>个，占比</w:t>
      </w:r>
      <w:r>
        <w:t>29.4%</w:t>
      </w:r>
      <w:r>
        <w:rPr>
          <w:rFonts w:hint="eastAsia" w:cs="仿宋"/>
        </w:rPr>
        <w:t>）。截至</w:t>
      </w:r>
      <w:r>
        <w:t>2019</w:t>
      </w:r>
      <w:r>
        <w:rPr>
          <w:rFonts w:hint="eastAsia" w:cs="仿宋"/>
        </w:rPr>
        <w:t>年底，辽河干流基本达到Ⅳ类水体标准、浑河干流城市段稳定达到Ⅳ类水体标准水平。</w:t>
      </w:r>
      <w:r>
        <w:t>2020</w:t>
      </w:r>
      <w:r>
        <w:rPr>
          <w:rFonts w:hint="eastAsia" w:cs="仿宋"/>
        </w:rPr>
        <w:t>年，沈阳市</w:t>
      </w:r>
      <w:r>
        <w:t>17</w:t>
      </w:r>
      <w:r>
        <w:rPr>
          <w:rFonts w:hint="eastAsia" w:cs="仿宋"/>
        </w:rPr>
        <w:t>个省考以上断面全部达标，水质综合指数改善</w:t>
      </w:r>
      <w:r>
        <w:t>12.5%</w:t>
      </w:r>
      <w:r>
        <w:rPr>
          <w:rFonts w:hint="eastAsia" w:cs="仿宋"/>
        </w:rPr>
        <w:t>，辽河、浑河干流沈阳段出境水质达到地表水环境质量</w:t>
      </w:r>
      <w:r>
        <w:rPr>
          <w:rFonts w:hint="eastAsia" w:ascii="宋体" w:hAnsi="宋体" w:eastAsia="宋体" w:cs="宋体"/>
        </w:rPr>
        <w:t>Ⅳ</w:t>
      </w:r>
      <w:r>
        <w:rPr>
          <w:rFonts w:hint="eastAsia" w:cs="仿宋"/>
        </w:rPr>
        <w:t>类标准。</w:t>
      </w:r>
    </w:p>
    <w:p>
      <w:pPr>
        <w:pStyle w:val="4"/>
      </w:pPr>
      <w:r>
        <w:t>2.3.3</w:t>
      </w:r>
      <w:r>
        <w:rPr>
          <w:rFonts w:hint="eastAsia" w:cs="仿宋"/>
        </w:rPr>
        <w:t>需关注重点环境问题</w:t>
      </w:r>
    </w:p>
    <w:p>
      <w:pPr>
        <w:ind w:firstLine="31680"/>
      </w:pPr>
      <w:r>
        <w:rPr>
          <w:rFonts w:hint="eastAsia" w:cs="仿宋"/>
        </w:rPr>
        <w:t>目前，沈阳市空气环境现状整体表现较好，且畜禽养殖业养殖地区主要集中在郊区及农村，虽然存在臭气污染等环境问题，但影响范围主要集中在养殖单位一定范围内，对全市环境空气质量影响比重不及企业、交通移动源等。“十三五”期间，沈阳市先后三轮划定和修改沈阳市畜禽禁养区划定方案，并针对重点流域进行了禁养区划定与畜禽养殖业排查工作。部分河流沿线存在养殖单位、岸边放牧等情况，影响了水质。重点流域禁养区畜禽养殖单位搬迁、部分河段封育等手段，对“十三五”期间沈阳市</w:t>
      </w:r>
      <w:r>
        <w:t>17</w:t>
      </w:r>
      <w:r>
        <w:rPr>
          <w:rFonts w:hint="eastAsia" w:cs="仿宋"/>
        </w:rPr>
        <w:t>个省考以上断面水质明显提升起到了促进作用。为了保证“十三五”期间养殖搬迁成果，巩固沈阳市水质改善目标，需要重点关注畜禽养殖业污染对河流水质造成的影响。</w:t>
      </w:r>
    </w:p>
    <w:p>
      <w:pPr>
        <w:pStyle w:val="3"/>
      </w:pPr>
      <w:bookmarkStart w:id="16" w:name="_Toc90558531"/>
      <w:r>
        <w:t>2.4</w:t>
      </w:r>
      <w:r>
        <w:rPr>
          <w:rFonts w:hint="eastAsia" w:cs="仿宋"/>
        </w:rPr>
        <w:t>养殖污染防治现状</w:t>
      </w:r>
      <w:bookmarkEnd w:id="16"/>
    </w:p>
    <w:p>
      <w:pPr>
        <w:pStyle w:val="4"/>
      </w:pPr>
      <w:r>
        <w:t>2.4.1</w:t>
      </w:r>
      <w:r>
        <w:rPr>
          <w:rFonts w:hint="eastAsia" w:cs="仿宋"/>
        </w:rPr>
        <w:t>养殖业现状</w:t>
      </w:r>
    </w:p>
    <w:p>
      <w:pPr>
        <w:ind w:firstLine="31680"/>
      </w:pPr>
      <w:r>
        <w:rPr>
          <w:rFonts w:hint="eastAsia" w:cs="仿宋"/>
        </w:rPr>
        <w:t>（</w:t>
      </w:r>
      <w:r>
        <w:t>1</w:t>
      </w:r>
      <w:r>
        <w:rPr>
          <w:rFonts w:hint="eastAsia" w:cs="仿宋"/>
        </w:rPr>
        <w:t>）沈阳市养殖基本情况</w:t>
      </w:r>
    </w:p>
    <w:p>
      <w:pPr>
        <w:ind w:firstLine="31680"/>
      </w:pPr>
      <w:r>
        <w:t>2020</w:t>
      </w:r>
      <w:r>
        <w:rPr>
          <w:rFonts w:hint="eastAsia" w:cs="仿宋"/>
        </w:rPr>
        <w:t>年，沈阳市生猪饲养量合计</w:t>
      </w:r>
      <w:r>
        <w:t>592.18</w:t>
      </w:r>
      <w:r>
        <w:rPr>
          <w:rFonts w:hint="eastAsia" w:cs="仿宋"/>
        </w:rPr>
        <w:t>万头，家禽饲养量</w:t>
      </w:r>
      <w:r>
        <w:t>3005.95</w:t>
      </w:r>
      <w:r>
        <w:rPr>
          <w:rFonts w:hint="eastAsia" w:cs="仿宋"/>
        </w:rPr>
        <w:t>万羽，牛饲养量</w:t>
      </w:r>
      <w:r>
        <w:t>155.75</w:t>
      </w:r>
      <w:r>
        <w:rPr>
          <w:rFonts w:hint="eastAsia" w:cs="仿宋"/>
        </w:rPr>
        <w:t>万头，羊饲养量</w:t>
      </w:r>
      <w:r>
        <w:t>141.08</w:t>
      </w:r>
      <w:r>
        <w:rPr>
          <w:rFonts w:hint="eastAsia" w:cs="仿宋"/>
        </w:rPr>
        <w:t>万头，畜牧业总产值</w:t>
      </w:r>
      <w:r>
        <w:t>259.40</w:t>
      </w:r>
      <w:r>
        <w:rPr>
          <w:rFonts w:hint="eastAsia" w:cs="仿宋"/>
        </w:rPr>
        <w:t>亿元，约占全省</w:t>
      </w:r>
      <w:r>
        <w:t>17%</w:t>
      </w:r>
      <w:r>
        <w:rPr>
          <w:rFonts w:hint="eastAsia" w:cs="仿宋"/>
        </w:rPr>
        <w:t>，位居全省第一。</w:t>
      </w:r>
      <w:r>
        <w:t>2018-2020</w:t>
      </w:r>
      <w:r>
        <w:rPr>
          <w:rFonts w:hint="eastAsia" w:cs="仿宋"/>
        </w:rPr>
        <w:t>年，沈阳市主要畜种养殖规模见表</w:t>
      </w:r>
      <w:r>
        <w:t>2-5</w:t>
      </w:r>
      <w:r>
        <w:rPr>
          <w:rFonts w:hint="eastAsia" w:cs="仿宋"/>
        </w:rPr>
        <w:t>。</w:t>
      </w:r>
    </w:p>
    <w:p>
      <w:pPr>
        <w:pStyle w:val="5"/>
        <w:spacing w:before="190"/>
      </w:pPr>
      <w:r>
        <w:rPr>
          <w:rFonts w:hint="eastAsia" w:cs="仿宋"/>
        </w:rPr>
        <w:t>表</w:t>
      </w:r>
      <w:r>
        <w:t xml:space="preserve">2-5 </w:t>
      </w:r>
      <w:bookmarkStart w:id="17" w:name="_Hlk82440497"/>
      <w:r>
        <w:rPr>
          <w:rFonts w:hint="eastAsia" w:cs="仿宋"/>
        </w:rPr>
        <w:t>沈阳市</w:t>
      </w:r>
      <w:r>
        <w:t>2018-2020</w:t>
      </w:r>
      <w:r>
        <w:rPr>
          <w:rFonts w:hint="eastAsia" w:cs="仿宋"/>
        </w:rPr>
        <w:t>年畜牧业</w:t>
      </w:r>
      <w:bookmarkEnd w:id="17"/>
      <w:r>
        <w:rPr>
          <w:rFonts w:hint="eastAsia" w:cs="仿宋"/>
        </w:rPr>
        <w:t>统计表</w:t>
      </w:r>
    </w:p>
    <w:tbl>
      <w:tblPr>
        <w:tblStyle w:val="20"/>
        <w:tblW w:w="8360"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0"/>
        <w:gridCol w:w="1220"/>
        <w:gridCol w:w="1580"/>
        <w:gridCol w:w="1580"/>
        <w:gridCol w:w="1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trPr>
        <w:tc>
          <w:tcPr>
            <w:tcW w:w="2200" w:type="dxa"/>
            <w:shd w:val="clear" w:color="000000" w:fill="FFFFFF"/>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项目</w:t>
            </w:r>
          </w:p>
        </w:tc>
        <w:tc>
          <w:tcPr>
            <w:tcW w:w="1220" w:type="dxa"/>
            <w:shd w:val="clear" w:color="000000" w:fill="FFFFFF"/>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单位</w:t>
            </w:r>
          </w:p>
        </w:tc>
        <w:tc>
          <w:tcPr>
            <w:tcW w:w="1580" w:type="dxa"/>
            <w:shd w:val="clear" w:color="000000" w:fill="FFFFFF"/>
            <w:vAlign w:val="center"/>
          </w:tcPr>
          <w:p>
            <w:pPr>
              <w:widowControl/>
              <w:spacing w:line="240" w:lineRule="auto"/>
              <w:ind w:firstLine="0" w:firstLineChars="0"/>
              <w:jc w:val="center"/>
              <w:rPr>
                <w:b/>
                <w:bCs/>
                <w:kern w:val="0"/>
                <w:sz w:val="22"/>
                <w:szCs w:val="22"/>
              </w:rPr>
            </w:pPr>
            <w:r>
              <w:rPr>
                <w:b/>
                <w:bCs/>
                <w:kern w:val="0"/>
                <w:sz w:val="22"/>
                <w:szCs w:val="22"/>
              </w:rPr>
              <w:t>2018</w:t>
            </w:r>
            <w:r>
              <w:rPr>
                <w:rFonts w:hint="eastAsia" w:cs="仿宋"/>
                <w:b/>
                <w:bCs/>
                <w:kern w:val="0"/>
                <w:sz w:val="22"/>
                <w:szCs w:val="22"/>
              </w:rPr>
              <w:t>年</w:t>
            </w:r>
          </w:p>
        </w:tc>
        <w:tc>
          <w:tcPr>
            <w:tcW w:w="1580" w:type="dxa"/>
            <w:shd w:val="clear" w:color="000000" w:fill="FFFFFF"/>
            <w:vAlign w:val="center"/>
          </w:tcPr>
          <w:p>
            <w:pPr>
              <w:widowControl/>
              <w:spacing w:line="240" w:lineRule="auto"/>
              <w:ind w:firstLine="0" w:firstLineChars="0"/>
              <w:jc w:val="center"/>
              <w:rPr>
                <w:b/>
                <w:bCs/>
                <w:kern w:val="0"/>
                <w:sz w:val="22"/>
                <w:szCs w:val="22"/>
              </w:rPr>
            </w:pPr>
            <w:r>
              <w:rPr>
                <w:b/>
                <w:bCs/>
                <w:kern w:val="0"/>
                <w:sz w:val="22"/>
                <w:szCs w:val="22"/>
              </w:rPr>
              <w:t>2019</w:t>
            </w:r>
            <w:r>
              <w:rPr>
                <w:rFonts w:hint="eastAsia" w:cs="仿宋"/>
                <w:b/>
                <w:bCs/>
                <w:kern w:val="0"/>
                <w:sz w:val="22"/>
                <w:szCs w:val="22"/>
              </w:rPr>
              <w:t>年</w:t>
            </w:r>
          </w:p>
        </w:tc>
        <w:tc>
          <w:tcPr>
            <w:tcW w:w="1780" w:type="dxa"/>
            <w:shd w:val="clear" w:color="000000" w:fill="FFFFFF"/>
            <w:vAlign w:val="center"/>
          </w:tcPr>
          <w:p>
            <w:pPr>
              <w:widowControl/>
              <w:spacing w:line="240" w:lineRule="auto"/>
              <w:ind w:firstLine="0" w:firstLineChars="0"/>
              <w:jc w:val="center"/>
              <w:rPr>
                <w:b/>
                <w:bCs/>
                <w:kern w:val="0"/>
                <w:sz w:val="22"/>
                <w:szCs w:val="22"/>
              </w:rPr>
            </w:pPr>
            <w:r>
              <w:rPr>
                <w:b/>
                <w:bCs/>
                <w:kern w:val="0"/>
                <w:sz w:val="22"/>
                <w:szCs w:val="22"/>
              </w:rPr>
              <w:t>2020</w:t>
            </w:r>
            <w:r>
              <w:rPr>
                <w:rFonts w:hint="eastAsia" w:cs="仿宋"/>
                <w:b/>
                <w:bCs/>
                <w:kern w:val="0"/>
                <w:sz w:val="22"/>
                <w:szCs w:val="22"/>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b/>
                <w:bCs/>
                <w:kern w:val="0"/>
                <w:sz w:val="22"/>
                <w:szCs w:val="22"/>
              </w:rPr>
            </w:pPr>
            <w:r>
              <w:rPr>
                <w:rFonts w:hint="eastAsia" w:cs="仿宋"/>
                <w:b/>
                <w:bCs/>
                <w:kern w:val="0"/>
                <w:sz w:val="22"/>
                <w:szCs w:val="22"/>
              </w:rPr>
              <w:t>生猪饲养量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649.67</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553.30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592.18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生猪出栏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481.39</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403.50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363.27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生猪存栏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168.28</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 xml:space="preserve">149.80 </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 xml:space="preserve">228.91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b/>
                <w:bCs/>
                <w:kern w:val="0"/>
                <w:sz w:val="22"/>
                <w:szCs w:val="22"/>
              </w:rPr>
            </w:pPr>
            <w:r>
              <w:rPr>
                <w:rFonts w:hint="eastAsia" w:cs="仿宋"/>
                <w:b/>
                <w:bCs/>
                <w:kern w:val="0"/>
                <w:sz w:val="22"/>
                <w:szCs w:val="22"/>
              </w:rPr>
              <w:t>家禽饲养量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11544.06</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13426.50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3005.95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家禽存栏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2845.84</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2996.20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2462.68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其中：蛋鸡</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1438.29</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1451.30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1306.62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肉鸡</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 xml:space="preserve">1295.35 </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1335.70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1156.06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家禽出栏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8698.22</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10430.30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9817.86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其中：肉鸡</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7242.88</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8912.20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8683.79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b/>
                <w:bCs/>
                <w:kern w:val="0"/>
                <w:sz w:val="22"/>
                <w:szCs w:val="22"/>
              </w:rPr>
            </w:pPr>
            <w:r>
              <w:rPr>
                <w:rFonts w:hint="eastAsia" w:cs="仿宋"/>
                <w:b/>
                <w:bCs/>
                <w:kern w:val="0"/>
                <w:sz w:val="22"/>
                <w:szCs w:val="22"/>
              </w:rPr>
              <w:t>牛饲养量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 xml:space="preserve">126.97 </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140.80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155.75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牛存栏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65.53</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73.2</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81.55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其中：奶牛</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9.87</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9.76</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牛出栏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万头</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61.44</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67.60</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74.20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b/>
                <w:bCs/>
                <w:kern w:val="0"/>
                <w:sz w:val="22"/>
                <w:szCs w:val="22"/>
              </w:rPr>
            </w:pPr>
            <w:r>
              <w:rPr>
                <w:rFonts w:hint="eastAsia" w:cs="仿宋"/>
                <w:b/>
                <w:bCs/>
                <w:kern w:val="0"/>
                <w:sz w:val="22"/>
                <w:szCs w:val="22"/>
              </w:rPr>
              <w:t>羊饲养量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154.43</w:t>
            </w:r>
          </w:p>
        </w:tc>
        <w:tc>
          <w:tcPr>
            <w:tcW w:w="1580" w:type="dxa"/>
            <w:shd w:val="clear" w:color="000000" w:fill="FFFFFF"/>
            <w:noWrap/>
            <w:vAlign w:val="center"/>
          </w:tcPr>
          <w:p>
            <w:pPr>
              <w:widowControl/>
              <w:spacing w:line="240" w:lineRule="auto"/>
              <w:ind w:firstLine="0" w:firstLineChars="0"/>
              <w:jc w:val="center"/>
              <w:rPr>
                <w:kern w:val="0"/>
                <w:sz w:val="22"/>
                <w:szCs w:val="22"/>
              </w:rPr>
            </w:pPr>
            <w:r>
              <w:rPr>
                <w:kern w:val="0"/>
                <w:sz w:val="22"/>
                <w:szCs w:val="22"/>
              </w:rPr>
              <w:t>158.05</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141.08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羊出栏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86.34</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88.98</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63.09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shd w:val="clear" w:color="000000" w:fill="FFFFFF"/>
            <w:noWrap/>
            <w:vAlign w:val="center"/>
          </w:tcPr>
          <w:p>
            <w:pPr>
              <w:widowControl/>
              <w:spacing w:line="240" w:lineRule="auto"/>
              <w:ind w:firstLine="0" w:firstLineChars="0"/>
              <w:jc w:val="left"/>
              <w:rPr>
                <w:kern w:val="0"/>
                <w:sz w:val="22"/>
                <w:szCs w:val="22"/>
              </w:rPr>
            </w:pPr>
            <w:r>
              <w:rPr>
                <w:kern w:val="0"/>
                <w:sz w:val="22"/>
                <w:szCs w:val="22"/>
              </w:rPr>
              <w:t xml:space="preserve">    </w:t>
            </w:r>
            <w:r>
              <w:rPr>
                <w:rFonts w:hint="eastAsia" w:cs="仿宋"/>
                <w:kern w:val="0"/>
                <w:sz w:val="22"/>
                <w:szCs w:val="22"/>
              </w:rPr>
              <w:t>羊存栏</w:t>
            </w:r>
          </w:p>
        </w:tc>
        <w:tc>
          <w:tcPr>
            <w:tcW w:w="1220" w:type="dxa"/>
            <w:shd w:val="clear" w:color="000000" w:fill="FFFFFF"/>
            <w:noWrap/>
            <w:vAlign w:val="center"/>
          </w:tcPr>
          <w:p>
            <w:pPr>
              <w:widowControl/>
              <w:spacing w:line="240" w:lineRule="auto"/>
              <w:ind w:firstLine="0" w:firstLineChars="0"/>
              <w:jc w:val="center"/>
              <w:rPr>
                <w:kern w:val="0"/>
                <w:sz w:val="22"/>
                <w:szCs w:val="22"/>
              </w:rPr>
            </w:pPr>
            <w:r>
              <w:rPr>
                <w:rFonts w:hint="eastAsia" w:cs="仿宋"/>
                <w:kern w:val="0"/>
                <w:sz w:val="22"/>
                <w:szCs w:val="22"/>
              </w:rPr>
              <w:t>万只</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68.09</w:t>
            </w:r>
          </w:p>
        </w:tc>
        <w:tc>
          <w:tcPr>
            <w:tcW w:w="1580" w:type="dxa"/>
            <w:shd w:val="clear" w:color="000000" w:fill="FFFFFF"/>
            <w:vAlign w:val="center"/>
          </w:tcPr>
          <w:p>
            <w:pPr>
              <w:widowControl/>
              <w:spacing w:line="240" w:lineRule="auto"/>
              <w:ind w:firstLine="0" w:firstLineChars="0"/>
              <w:jc w:val="center"/>
              <w:rPr>
                <w:kern w:val="0"/>
                <w:sz w:val="22"/>
                <w:szCs w:val="22"/>
              </w:rPr>
            </w:pPr>
            <w:r>
              <w:rPr>
                <w:kern w:val="0"/>
                <w:sz w:val="22"/>
                <w:szCs w:val="22"/>
              </w:rPr>
              <w:t>69.07</w:t>
            </w:r>
          </w:p>
        </w:tc>
        <w:tc>
          <w:tcPr>
            <w:tcW w:w="1780" w:type="dxa"/>
            <w:noWrap/>
            <w:vAlign w:val="center"/>
          </w:tcPr>
          <w:p>
            <w:pPr>
              <w:widowControl/>
              <w:spacing w:line="240" w:lineRule="auto"/>
              <w:ind w:firstLine="0" w:firstLineChars="0"/>
              <w:jc w:val="center"/>
              <w:rPr>
                <w:kern w:val="0"/>
                <w:sz w:val="20"/>
                <w:szCs w:val="20"/>
              </w:rPr>
            </w:pPr>
            <w:r>
              <w:rPr>
                <w:kern w:val="0"/>
                <w:sz w:val="20"/>
                <w:szCs w:val="20"/>
              </w:rPr>
              <w:t>77.99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200" w:type="dxa"/>
            <w:vAlign w:val="center"/>
          </w:tcPr>
          <w:p>
            <w:pPr>
              <w:widowControl/>
              <w:spacing w:line="240" w:lineRule="auto"/>
              <w:ind w:firstLine="0" w:firstLineChars="0"/>
              <w:jc w:val="left"/>
              <w:rPr>
                <w:b/>
                <w:bCs/>
                <w:kern w:val="0"/>
                <w:sz w:val="22"/>
                <w:szCs w:val="22"/>
              </w:rPr>
            </w:pPr>
            <w:r>
              <w:rPr>
                <w:rFonts w:hint="eastAsia" w:cs="仿宋"/>
                <w:b/>
                <w:bCs/>
                <w:kern w:val="0"/>
                <w:sz w:val="22"/>
                <w:szCs w:val="22"/>
              </w:rPr>
              <w:t>畜牧业总产值</w:t>
            </w:r>
          </w:p>
        </w:tc>
        <w:tc>
          <w:tcPr>
            <w:tcW w:w="1220" w:type="dxa"/>
            <w:vAlign w:val="center"/>
          </w:tcPr>
          <w:p>
            <w:pPr>
              <w:widowControl/>
              <w:spacing w:line="240" w:lineRule="auto"/>
              <w:ind w:firstLine="0" w:firstLineChars="0"/>
              <w:jc w:val="center"/>
              <w:rPr>
                <w:kern w:val="0"/>
                <w:sz w:val="22"/>
                <w:szCs w:val="22"/>
              </w:rPr>
            </w:pPr>
            <w:r>
              <w:rPr>
                <w:rFonts w:hint="eastAsia" w:cs="仿宋"/>
                <w:kern w:val="0"/>
                <w:sz w:val="22"/>
                <w:szCs w:val="22"/>
              </w:rPr>
              <w:t>亿元</w:t>
            </w:r>
          </w:p>
        </w:tc>
        <w:tc>
          <w:tcPr>
            <w:tcW w:w="1580" w:type="dxa"/>
            <w:vAlign w:val="center"/>
          </w:tcPr>
          <w:p>
            <w:pPr>
              <w:widowControl/>
              <w:spacing w:line="240" w:lineRule="auto"/>
              <w:ind w:firstLine="0" w:firstLineChars="0"/>
              <w:jc w:val="center"/>
              <w:rPr>
                <w:kern w:val="0"/>
                <w:sz w:val="22"/>
                <w:szCs w:val="22"/>
              </w:rPr>
            </w:pPr>
            <w:r>
              <w:rPr>
                <w:kern w:val="0"/>
                <w:sz w:val="22"/>
                <w:szCs w:val="22"/>
              </w:rPr>
              <w:t>221.95</w:t>
            </w:r>
          </w:p>
        </w:tc>
        <w:tc>
          <w:tcPr>
            <w:tcW w:w="1580" w:type="dxa"/>
            <w:vAlign w:val="center"/>
          </w:tcPr>
          <w:p>
            <w:pPr>
              <w:widowControl/>
              <w:spacing w:line="240" w:lineRule="auto"/>
              <w:ind w:firstLine="0" w:firstLineChars="0"/>
              <w:jc w:val="center"/>
              <w:rPr>
                <w:kern w:val="0"/>
                <w:sz w:val="22"/>
                <w:szCs w:val="22"/>
              </w:rPr>
            </w:pPr>
            <w:r>
              <w:rPr>
                <w:kern w:val="0"/>
                <w:sz w:val="22"/>
                <w:szCs w:val="22"/>
              </w:rPr>
              <w:t>245.00</w:t>
            </w:r>
          </w:p>
        </w:tc>
        <w:tc>
          <w:tcPr>
            <w:tcW w:w="1780" w:type="dxa"/>
            <w:vAlign w:val="center"/>
          </w:tcPr>
          <w:p>
            <w:pPr>
              <w:widowControl/>
              <w:spacing w:line="240" w:lineRule="auto"/>
              <w:ind w:firstLine="0" w:firstLineChars="0"/>
              <w:jc w:val="center"/>
              <w:rPr>
                <w:kern w:val="0"/>
                <w:sz w:val="22"/>
                <w:szCs w:val="22"/>
              </w:rPr>
            </w:pPr>
            <w:r>
              <w:rPr>
                <w:kern w:val="0"/>
                <w:sz w:val="22"/>
                <w:szCs w:val="22"/>
              </w:rPr>
              <w:t>259.40</w:t>
            </w:r>
          </w:p>
        </w:tc>
      </w:tr>
    </w:tbl>
    <w:p>
      <w:pPr>
        <w:ind w:firstLine="31680"/>
      </w:pPr>
      <w:r>
        <w:rPr>
          <w:rFonts w:hint="eastAsia" w:cs="仿宋"/>
        </w:rPr>
        <w:t>（</w:t>
      </w:r>
      <w:r>
        <w:t>2</w:t>
      </w:r>
      <w:r>
        <w:rPr>
          <w:rFonts w:hint="eastAsia" w:cs="仿宋"/>
        </w:rPr>
        <w:t>）区县养殖情况</w:t>
      </w:r>
    </w:p>
    <w:p>
      <w:pPr>
        <w:ind w:firstLine="31680"/>
      </w:pPr>
      <w:r>
        <w:t>2020</w:t>
      </w:r>
      <w:r>
        <w:rPr>
          <w:rFonts w:hint="eastAsia" w:cs="仿宋"/>
        </w:rPr>
        <w:t>年，沈阳市畜牧业各畜种饲养主要以两县、一区、一市为主。其中生猪饲养主要集中在辽中、康平、法库、新民，约占全市</w:t>
      </w:r>
      <w:r>
        <w:t>84.5%</w:t>
      </w:r>
      <w:r>
        <w:rPr>
          <w:rFonts w:hint="eastAsia" w:cs="仿宋"/>
        </w:rPr>
        <w:t>；肉牛主要集中在法库、新民、辽中，约占全市</w:t>
      </w:r>
      <w:r>
        <w:t>77.1%</w:t>
      </w:r>
      <w:r>
        <w:rPr>
          <w:rFonts w:hint="eastAsia" w:cs="仿宋"/>
        </w:rPr>
        <w:t>；奶牛主要集中在法库、新民、沈北，约占全市</w:t>
      </w:r>
      <w:r>
        <w:t>79.8%</w:t>
      </w:r>
      <w:r>
        <w:rPr>
          <w:rFonts w:hint="eastAsia" w:cs="仿宋"/>
        </w:rPr>
        <w:t>；蛋鸡主要集中在新民、辽中、沈北，约占全市</w:t>
      </w:r>
      <w:r>
        <w:t>71.9%</w:t>
      </w:r>
      <w:r>
        <w:rPr>
          <w:rFonts w:hint="eastAsia" w:cs="仿宋"/>
        </w:rPr>
        <w:t>；肉鸡主要集中在法库、沈北、苏家屯，约占全市</w:t>
      </w:r>
      <w:r>
        <w:t>50.7%</w:t>
      </w:r>
      <w:r>
        <w:rPr>
          <w:rFonts w:hint="eastAsia" w:cs="仿宋"/>
        </w:rPr>
        <w:t>；肉羊主要集中在法库、康平、新民，约占全市</w:t>
      </w:r>
      <w:r>
        <w:t>64.9%</w:t>
      </w:r>
      <w:r>
        <w:rPr>
          <w:rFonts w:hint="eastAsia" w:cs="仿宋"/>
        </w:rPr>
        <w:t>。法库（奶牛）、康平（生猪）、新民（蛋鸡）、辽中（肉牛）被评为国家及省级现代畜牧业示范区。</w:t>
      </w:r>
    </w:p>
    <w:p>
      <w:pPr>
        <w:ind w:firstLine="31680"/>
      </w:pPr>
      <w:r>
        <w:rPr>
          <w:rFonts w:hint="eastAsia" w:cs="仿宋"/>
        </w:rPr>
        <w:t>“十三五”期间，沈阳市通过实施国家及省市畜牧标准化养殖项目，建成国家级示范场</w:t>
      </w:r>
      <w:r>
        <w:t>19</w:t>
      </w:r>
      <w:r>
        <w:rPr>
          <w:rFonts w:hint="eastAsia" w:cs="仿宋"/>
        </w:rPr>
        <w:t>家、畜禽标准化健康养殖场</w:t>
      </w:r>
      <w:r>
        <w:t>77</w:t>
      </w:r>
      <w:r>
        <w:rPr>
          <w:rFonts w:hint="eastAsia" w:cs="仿宋"/>
        </w:rPr>
        <w:t>家、生猪及奶牛标准化规模养殖场</w:t>
      </w:r>
      <w:r>
        <w:t>87</w:t>
      </w:r>
      <w:r>
        <w:rPr>
          <w:rFonts w:hint="eastAsia" w:cs="仿宋"/>
        </w:rPr>
        <w:t>家。建成市级标准化规模养殖场</w:t>
      </w:r>
      <w:r>
        <w:t>76</w:t>
      </w:r>
      <w:r>
        <w:rPr>
          <w:rFonts w:hint="eastAsia" w:cs="仿宋"/>
        </w:rPr>
        <w:t>家，建成畜禽舍</w:t>
      </w:r>
      <w:r>
        <w:t>691</w:t>
      </w:r>
      <w:r>
        <w:rPr>
          <w:rFonts w:hint="eastAsia" w:cs="仿宋"/>
        </w:rPr>
        <w:t>栋</w:t>
      </w:r>
      <w:r>
        <w:t>136.61</w:t>
      </w:r>
      <w:r>
        <w:rPr>
          <w:rFonts w:hint="eastAsia" w:cs="仿宋"/>
        </w:rPr>
        <w:t>万平方米，增加畜禽规模养殖存栏能力</w:t>
      </w:r>
      <w:r>
        <w:t>331.42</w:t>
      </w:r>
      <w:r>
        <w:rPr>
          <w:rFonts w:hint="eastAsia" w:cs="仿宋"/>
        </w:rPr>
        <w:t>万头（只），累计投入补助资金</w:t>
      </w:r>
      <w:r>
        <w:t>2.05</w:t>
      </w:r>
      <w:r>
        <w:rPr>
          <w:rFonts w:hint="eastAsia" w:cs="仿宋"/>
        </w:rPr>
        <w:t>亿元，全市畜禽养殖规模化率达到</w:t>
      </w:r>
      <w:r>
        <w:t>65%</w:t>
      </w:r>
      <w:r>
        <w:rPr>
          <w:rFonts w:hint="eastAsia" w:cs="仿宋"/>
        </w:rPr>
        <w:t>。</w:t>
      </w:r>
    </w:p>
    <w:p>
      <w:pPr>
        <w:ind w:firstLine="31680"/>
      </w:pPr>
      <w:r>
        <w:rPr>
          <w:rFonts w:hint="eastAsia" w:cs="仿宋"/>
        </w:rPr>
        <w:t>（</w:t>
      </w:r>
      <w:r>
        <w:t>3</w:t>
      </w:r>
      <w:r>
        <w:rPr>
          <w:rFonts w:hint="eastAsia" w:cs="仿宋"/>
        </w:rPr>
        <w:t>）粪污产生情况</w:t>
      </w:r>
    </w:p>
    <w:p>
      <w:pPr>
        <w:ind w:firstLine="31680"/>
      </w:pPr>
      <w:r>
        <w:t>2018</w:t>
      </w:r>
      <w:r>
        <w:rPr>
          <w:rFonts w:hint="eastAsia" w:cs="仿宋"/>
        </w:rPr>
        <w:t>年，全市畜禽粪污产生量为</w:t>
      </w:r>
      <w:r>
        <w:t>909.05</w:t>
      </w:r>
      <w:r>
        <w:rPr>
          <w:rFonts w:hint="eastAsia" w:cs="仿宋"/>
        </w:rPr>
        <w:t>万吨，</w:t>
      </w:r>
      <w:r>
        <w:t>2019</w:t>
      </w:r>
      <w:r>
        <w:rPr>
          <w:rFonts w:hint="eastAsia" w:cs="仿宋"/>
        </w:rPr>
        <w:t>年全市畜禽粪污产生为</w:t>
      </w:r>
      <w:r>
        <w:t>926.91</w:t>
      </w:r>
      <w:r>
        <w:rPr>
          <w:rFonts w:hint="eastAsia" w:cs="仿宋"/>
        </w:rPr>
        <w:t>万吨，</w:t>
      </w:r>
      <w:r>
        <w:t>2020</w:t>
      </w:r>
      <w:r>
        <w:rPr>
          <w:rFonts w:hint="eastAsia" w:cs="仿宋"/>
        </w:rPr>
        <w:t>年全市畜禽粪污产生</w:t>
      </w:r>
      <w:r>
        <w:t>1300.13</w:t>
      </w:r>
      <w:r>
        <w:rPr>
          <w:rFonts w:hint="eastAsia" w:cs="仿宋"/>
        </w:rPr>
        <w:t>万吨。</w:t>
      </w:r>
    </w:p>
    <w:p>
      <w:pPr>
        <w:ind w:firstLine="31680"/>
      </w:pPr>
      <w:bookmarkStart w:id="18" w:name="bookmark0"/>
      <w:bookmarkEnd w:id="18"/>
      <w:r>
        <w:t>2020</w:t>
      </w:r>
      <w:r>
        <w:rPr>
          <w:rFonts w:hint="eastAsia" w:cs="仿宋"/>
        </w:rPr>
        <w:t>年，沈阳市畜禽养殖共产生</w:t>
      </w:r>
      <w:r>
        <w:t>COD 244.33</w:t>
      </w:r>
      <w:r>
        <w:rPr>
          <w:rFonts w:hint="eastAsia" w:cs="仿宋"/>
        </w:rPr>
        <w:t>万吨</w:t>
      </w:r>
      <w:r>
        <w:t>/</w:t>
      </w:r>
      <w:r>
        <w:rPr>
          <w:rFonts w:hint="eastAsia" w:cs="仿宋"/>
        </w:rPr>
        <w:t>年，</w:t>
      </w:r>
      <w:r>
        <w:t xml:space="preserve">TN 8.84 </w:t>
      </w:r>
      <w:r>
        <w:rPr>
          <w:rFonts w:hint="eastAsia" w:cs="仿宋"/>
        </w:rPr>
        <w:t>万吨</w:t>
      </w:r>
      <w:r>
        <w:t>/</w:t>
      </w:r>
      <w:r>
        <w:rPr>
          <w:rFonts w:hint="eastAsia" w:cs="仿宋"/>
        </w:rPr>
        <w:t>年，</w:t>
      </w:r>
      <w:r>
        <w:t>NH</w:t>
      </w:r>
      <w:r>
        <w:rPr>
          <w:vertAlign w:val="subscript"/>
        </w:rPr>
        <w:t>3</w:t>
      </w:r>
      <w:r>
        <w:t>-N 0.89</w:t>
      </w:r>
      <w:r>
        <w:rPr>
          <w:rFonts w:hint="eastAsia" w:cs="仿宋"/>
        </w:rPr>
        <w:t>万吨</w:t>
      </w:r>
      <w:r>
        <w:t>/</w:t>
      </w:r>
      <w:r>
        <w:rPr>
          <w:rFonts w:hint="eastAsia" w:cs="仿宋"/>
        </w:rPr>
        <w:t>年，</w:t>
      </w:r>
      <w:r>
        <w:t>TP 2.02</w:t>
      </w:r>
      <w:r>
        <w:rPr>
          <w:rFonts w:hint="eastAsia" w:cs="仿宋"/>
        </w:rPr>
        <w:t>万吨</w:t>
      </w:r>
      <w:r>
        <w:t>/</w:t>
      </w:r>
      <w:r>
        <w:rPr>
          <w:rFonts w:hint="eastAsia" w:cs="仿宋"/>
        </w:rPr>
        <w:t>年。</w:t>
      </w:r>
    </w:p>
    <w:p>
      <w:pPr>
        <w:pStyle w:val="4"/>
      </w:pPr>
      <w:r>
        <w:t>2.4.2</w:t>
      </w:r>
      <w:r>
        <w:rPr>
          <w:rFonts w:hint="eastAsia" w:cs="仿宋"/>
        </w:rPr>
        <w:t>污染防治现状</w:t>
      </w:r>
    </w:p>
    <w:p>
      <w:pPr>
        <w:ind w:firstLine="31680"/>
      </w:pPr>
      <w:bookmarkStart w:id="19" w:name="_Hlk76651341"/>
      <w:r>
        <w:rPr>
          <w:rFonts w:hint="eastAsia" w:cs="仿宋"/>
        </w:rPr>
        <w:t>（</w:t>
      </w:r>
      <w:r>
        <w:t>1</w:t>
      </w:r>
      <w:r>
        <w:rPr>
          <w:rFonts w:hint="eastAsia" w:cs="仿宋"/>
        </w:rPr>
        <w:t>）养殖污染治理主要模式及设施类型</w:t>
      </w:r>
    </w:p>
    <w:p>
      <w:pPr>
        <w:ind w:firstLine="31680"/>
      </w:pPr>
      <w:bookmarkStart w:id="20" w:name="_Hlk83739311"/>
      <w:r>
        <w:rPr>
          <w:rFonts w:hint="eastAsia" w:cs="仿宋"/>
        </w:rPr>
        <w:t>目前，沈阳市规模养殖场主要采用人工干清粪和机械干清粪方式清理粪污，固体粪便于堆粪场堆放发酵，液体粪水进入污水贮存池自然发酵。畜禽养殖户采用人工干清粪和水冲粪方式清理粪污，粪污主要由污水贮存池和储粪池收集处理。畜禽养殖污染治理主要模式为粪污储存池和尿液储存池储存还田利用模式，设施容积应至少容纳不少于</w:t>
      </w:r>
      <w:r>
        <w:t>6</w:t>
      </w:r>
      <w:r>
        <w:rPr>
          <w:rFonts w:hint="eastAsia" w:cs="仿宋"/>
        </w:rPr>
        <w:t>个月的粪便和尿液产生量，具有防渗透、防雨淋、防外溢的功能。</w:t>
      </w:r>
    </w:p>
    <w:bookmarkEnd w:id="19"/>
    <w:bookmarkEnd w:id="20"/>
    <w:p>
      <w:pPr>
        <w:ind w:firstLine="31680"/>
      </w:pPr>
      <w:r>
        <w:rPr>
          <w:rFonts w:hint="eastAsia" w:cs="仿宋"/>
        </w:rPr>
        <w:t>（</w:t>
      </w:r>
      <w:r>
        <w:t>2</w:t>
      </w:r>
      <w:r>
        <w:rPr>
          <w:rFonts w:hint="eastAsia" w:cs="仿宋"/>
        </w:rPr>
        <w:t>）禁养区划定及综合整治</w:t>
      </w:r>
    </w:p>
    <w:p>
      <w:pPr>
        <w:ind w:firstLine="31680"/>
      </w:pPr>
      <w:r>
        <w:rPr>
          <w:rFonts w:hint="eastAsia" w:cs="仿宋"/>
        </w:rPr>
        <w:t>目前，沈阳市已划定畜禽养殖禁养区面积</w:t>
      </w:r>
      <w:r>
        <w:t>2479</w:t>
      </w:r>
      <w:r>
        <w:rPr>
          <w:rFonts w:hint="eastAsia" w:cs="仿宋"/>
        </w:rPr>
        <w:t>平方千米。其中，饮用水源保护区禁养区</w:t>
      </w:r>
      <w:r>
        <w:t>165.02 km</w:t>
      </w:r>
      <w:r>
        <w:rPr>
          <w:vertAlign w:val="superscript"/>
        </w:rPr>
        <w:t>2</w:t>
      </w:r>
      <w:r>
        <w:rPr>
          <w:rFonts w:hint="eastAsia" w:cs="仿宋"/>
        </w:rPr>
        <w:t>，自然保护区禁养区</w:t>
      </w:r>
      <w:r>
        <w:t>334.55 km</w:t>
      </w:r>
      <w:r>
        <w:rPr>
          <w:vertAlign w:val="superscript"/>
        </w:rPr>
        <w:t>2</w:t>
      </w:r>
      <w:r>
        <w:rPr>
          <w:rFonts w:hint="eastAsia" w:cs="仿宋"/>
        </w:rPr>
        <w:t>，风景名胜区禁养区</w:t>
      </w:r>
      <w:r>
        <w:t>127.40 km</w:t>
      </w:r>
      <w:r>
        <w:rPr>
          <w:vertAlign w:val="superscript"/>
        </w:rPr>
        <w:t>2</w:t>
      </w:r>
      <w:r>
        <w:rPr>
          <w:rFonts w:hint="eastAsia" w:cs="仿宋"/>
        </w:rPr>
        <w:t>，区、县（市）城镇居民区禁养区</w:t>
      </w:r>
      <w:r>
        <w:t>922.54 km</w:t>
      </w:r>
      <w:r>
        <w:rPr>
          <w:vertAlign w:val="superscript"/>
        </w:rPr>
        <w:t>2</w:t>
      </w:r>
      <w:r>
        <w:rPr>
          <w:rFonts w:hint="eastAsia" w:cs="仿宋"/>
        </w:rPr>
        <w:t>，河流禁养区</w:t>
      </w:r>
      <w:r>
        <w:t>929.73 km</w:t>
      </w:r>
      <w:r>
        <w:rPr>
          <w:vertAlign w:val="superscript"/>
        </w:rPr>
        <w:t>2</w:t>
      </w:r>
      <w:r>
        <w:rPr>
          <w:rFonts w:hint="eastAsia" w:cs="仿宋"/>
        </w:rPr>
        <w:t>。</w:t>
      </w:r>
      <w:r>
        <w:t>“</w:t>
      </w:r>
      <w:r>
        <w:rPr>
          <w:rFonts w:hint="eastAsia" w:cs="仿宋"/>
        </w:rPr>
        <w:t>十三五</w:t>
      </w:r>
      <w:r>
        <w:t>”</w:t>
      </w:r>
      <w:r>
        <w:rPr>
          <w:rFonts w:hint="eastAsia" w:cs="仿宋"/>
        </w:rPr>
        <w:t>期间，完成关闭搬迁养殖场（户）</w:t>
      </w:r>
      <w:r>
        <w:t>285</w:t>
      </w:r>
      <w:r>
        <w:rPr>
          <w:rFonts w:hint="eastAsia" w:cs="仿宋"/>
        </w:rPr>
        <w:t>家，整改养殖场（户）</w:t>
      </w:r>
      <w:r>
        <w:t>65</w:t>
      </w:r>
      <w:r>
        <w:rPr>
          <w:rFonts w:hint="eastAsia" w:cs="仿宋"/>
        </w:rPr>
        <w:t>家。完成</w:t>
      </w:r>
      <w:r>
        <w:t>80</w:t>
      </w:r>
      <w:r>
        <w:rPr>
          <w:rFonts w:hint="eastAsia" w:cs="仿宋"/>
        </w:rPr>
        <w:t>家养殖场畜禽粪污处理利用设施升级改造。于洪区、铁西区、沈北新区、辽中区、新民市划定的</w:t>
      </w:r>
      <w:r>
        <w:t>15</w:t>
      </w:r>
      <w:r>
        <w:rPr>
          <w:rFonts w:hint="eastAsia" w:cs="仿宋"/>
        </w:rPr>
        <w:t>个农村“万人千吨”集中式饮用水源地一级保护区、二级保护区按饮用水源保护区禁养区管理。法库县南水源保护区撤销，不再按照饮用水源保护区禁养区管理。十四五期间畜禽禁养区如有修订调整，依据调整后范围进行管理。</w:t>
      </w:r>
    </w:p>
    <w:p>
      <w:pPr>
        <w:ind w:firstLine="31680"/>
        <w:rPr>
          <w:b/>
          <w:bCs/>
        </w:rPr>
      </w:pPr>
      <w:r>
        <w:rPr>
          <w:b/>
          <w:bCs/>
        </w:rPr>
        <w:t>2.4.3</w:t>
      </w:r>
      <w:r>
        <w:rPr>
          <w:rFonts w:hint="eastAsia" w:cs="仿宋"/>
          <w:b/>
          <w:bCs/>
        </w:rPr>
        <w:t>种养结合现状</w:t>
      </w:r>
    </w:p>
    <w:p>
      <w:pPr>
        <w:ind w:firstLine="31680"/>
      </w:pPr>
      <w:r>
        <w:rPr>
          <w:rFonts w:hint="eastAsia" w:cs="仿宋"/>
        </w:rPr>
        <w:t>（</w:t>
      </w:r>
      <w:r>
        <w:t>1</w:t>
      </w:r>
      <w:r>
        <w:rPr>
          <w:rFonts w:hint="eastAsia" w:cs="仿宋"/>
        </w:rPr>
        <w:t>）各区种植面积及养殖量</w:t>
      </w:r>
    </w:p>
    <w:p>
      <w:pPr>
        <w:ind w:firstLine="31680"/>
      </w:pPr>
      <w:r>
        <w:rPr>
          <w:rFonts w:hint="eastAsia" w:cs="仿宋"/>
        </w:rPr>
        <w:t>依据《沈阳市</w:t>
      </w:r>
      <w:r>
        <w:t>2019</w:t>
      </w:r>
      <w:r>
        <w:rPr>
          <w:rFonts w:hint="eastAsia" w:cs="仿宋"/>
        </w:rPr>
        <w:t>年统计年鉴》，沈阳市各区畜禽养殖存栏量见下表，按照</w:t>
      </w:r>
      <w:r>
        <w:t>100</w:t>
      </w:r>
      <w:r>
        <w:rPr>
          <w:rFonts w:hint="eastAsia" w:cs="仿宋"/>
        </w:rPr>
        <w:t>头猪相当于</w:t>
      </w:r>
      <w:r>
        <w:t>15</w:t>
      </w:r>
      <w:r>
        <w:rPr>
          <w:rFonts w:hint="eastAsia" w:cs="仿宋"/>
        </w:rPr>
        <w:t>头奶牛、</w:t>
      </w:r>
      <w:r>
        <w:t>30</w:t>
      </w:r>
      <w:r>
        <w:rPr>
          <w:rFonts w:hint="eastAsia" w:cs="仿宋"/>
        </w:rPr>
        <w:t>头肉牛、</w:t>
      </w:r>
      <w:r>
        <w:t>250</w:t>
      </w:r>
      <w:r>
        <w:rPr>
          <w:rFonts w:hint="eastAsia" w:cs="仿宋"/>
        </w:rPr>
        <w:t>只羊、</w:t>
      </w:r>
      <w:r>
        <w:t>2500</w:t>
      </w:r>
      <w:r>
        <w:rPr>
          <w:rFonts w:hint="eastAsia" w:cs="仿宋"/>
        </w:rPr>
        <w:t>只家禽，沈阳市</w:t>
      </w:r>
      <w:r>
        <w:t>2019</w:t>
      </w:r>
      <w:r>
        <w:rPr>
          <w:rFonts w:hint="eastAsia" w:cs="仿宋"/>
        </w:rPr>
        <w:t>年畜禽养殖折算猪当量为</w:t>
      </w:r>
      <w:r>
        <w:t>532.37</w:t>
      </w:r>
      <w:r>
        <w:rPr>
          <w:rFonts w:hint="eastAsia" w:cs="仿宋"/>
        </w:rPr>
        <w:t>万头。依据沈阳市</w:t>
      </w:r>
      <w:bookmarkStart w:id="21" w:name="_Hlk88125522"/>
      <w:r>
        <w:rPr>
          <w:rFonts w:hint="eastAsia" w:cs="仿宋"/>
        </w:rPr>
        <w:t>畜禽养殖环境承载力</w:t>
      </w:r>
      <w:bookmarkEnd w:id="21"/>
      <w:r>
        <w:rPr>
          <w:rFonts w:hint="eastAsia" w:cs="仿宋"/>
        </w:rPr>
        <w:t>阈值测算结果，铁西区及辽中区养殖量超出土地承载量阈值范围。铁西区相对于其它区县，可用于消纳粪污的土地量少，养殖量较多；辽中区可消纳土地相对较多，仅次于康平县、法库县、新民市，但养殖量过高，导致畜禽养殖环境承载力不足。以氮计，单位旱田承载猪当量比水田高。从土地利用类型看，辽中区、铁西区、于洪区水田较多，康平县、法库县、新民市、苏家屯区、浑南区旱田较多。不同类型土地种植不同植物粪肥利用量不同，各区可根据环境承载力实际情况，调整种植种类，提高粪肥利用量。</w:t>
      </w:r>
    </w:p>
    <w:p>
      <w:pPr>
        <w:widowControl/>
        <w:spacing w:line="240" w:lineRule="auto"/>
        <w:ind w:firstLine="0" w:firstLineChars="0"/>
        <w:jc w:val="left"/>
      </w:pPr>
      <w:r>
        <w:br w:type="page"/>
      </w:r>
    </w:p>
    <w:p>
      <w:pPr>
        <w:pStyle w:val="5"/>
        <w:spacing w:before="190"/>
      </w:pPr>
      <w:r>
        <w:rPr>
          <w:rFonts w:hint="eastAsia" w:cs="仿宋"/>
        </w:rPr>
        <w:t>表</w:t>
      </w:r>
      <w:r>
        <w:t xml:space="preserve">2-6 </w:t>
      </w:r>
      <w:r>
        <w:rPr>
          <w:rFonts w:hint="eastAsia" w:cs="仿宋"/>
        </w:rPr>
        <w:t>各区县畜禽养殖折算猪当量</w:t>
      </w:r>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658"/>
        <w:gridCol w:w="986"/>
        <w:gridCol w:w="1100"/>
        <w:gridCol w:w="879"/>
        <w:gridCol w:w="879"/>
        <w:gridCol w:w="1100"/>
        <w:gridCol w:w="879"/>
        <w:gridCol w:w="879"/>
        <w:gridCol w:w="879"/>
        <w:gridCol w:w="879"/>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39" w:type="pct"/>
            <w:noWrap/>
            <w:vAlign w:val="center"/>
          </w:tcPr>
          <w:p>
            <w:pPr>
              <w:spacing w:line="240" w:lineRule="auto"/>
              <w:ind w:firstLine="0" w:firstLineChars="0"/>
              <w:jc w:val="center"/>
              <w:rPr>
                <w:b/>
                <w:bCs/>
                <w:sz w:val="22"/>
                <w:szCs w:val="22"/>
              </w:rPr>
            </w:pPr>
            <w:r>
              <w:rPr>
                <w:rFonts w:hint="eastAsia" w:cs="仿宋"/>
                <w:b/>
                <w:bCs/>
                <w:sz w:val="22"/>
                <w:szCs w:val="22"/>
              </w:rPr>
              <w:t>种类</w:t>
            </w:r>
          </w:p>
        </w:tc>
        <w:tc>
          <w:tcPr>
            <w:tcW w:w="289" w:type="pct"/>
            <w:noWrap/>
            <w:vAlign w:val="center"/>
          </w:tcPr>
          <w:p>
            <w:pPr>
              <w:spacing w:line="240" w:lineRule="auto"/>
              <w:ind w:firstLine="0" w:firstLineChars="0"/>
              <w:jc w:val="center"/>
              <w:rPr>
                <w:b/>
                <w:bCs/>
                <w:sz w:val="22"/>
                <w:szCs w:val="22"/>
              </w:rPr>
            </w:pPr>
            <w:r>
              <w:rPr>
                <w:rFonts w:hint="eastAsia" w:cs="仿宋"/>
                <w:b/>
                <w:bCs/>
                <w:sz w:val="22"/>
                <w:szCs w:val="22"/>
              </w:rPr>
              <w:t>单位</w:t>
            </w:r>
          </w:p>
        </w:tc>
        <w:tc>
          <w:tcPr>
            <w:tcW w:w="406" w:type="pct"/>
            <w:noWrap/>
            <w:vAlign w:val="center"/>
          </w:tcPr>
          <w:p>
            <w:pPr>
              <w:spacing w:line="240" w:lineRule="auto"/>
              <w:ind w:firstLine="0" w:firstLineChars="0"/>
              <w:jc w:val="center"/>
              <w:rPr>
                <w:b/>
                <w:bCs/>
                <w:sz w:val="22"/>
                <w:szCs w:val="22"/>
              </w:rPr>
            </w:pPr>
            <w:r>
              <w:rPr>
                <w:rFonts w:hint="eastAsia" w:cs="仿宋"/>
                <w:b/>
                <w:bCs/>
                <w:sz w:val="22"/>
                <w:szCs w:val="22"/>
              </w:rPr>
              <w:t>沈阳市</w:t>
            </w:r>
          </w:p>
        </w:tc>
        <w:tc>
          <w:tcPr>
            <w:tcW w:w="447" w:type="pct"/>
            <w:noWrap/>
            <w:vAlign w:val="center"/>
          </w:tcPr>
          <w:p>
            <w:pPr>
              <w:spacing w:line="240" w:lineRule="auto"/>
              <w:ind w:firstLine="0" w:firstLineChars="0"/>
              <w:jc w:val="center"/>
              <w:rPr>
                <w:b/>
                <w:bCs/>
                <w:sz w:val="22"/>
                <w:szCs w:val="22"/>
              </w:rPr>
            </w:pPr>
            <w:r>
              <w:rPr>
                <w:rFonts w:hint="eastAsia" w:cs="仿宋"/>
                <w:b/>
                <w:bCs/>
                <w:sz w:val="22"/>
                <w:szCs w:val="22"/>
              </w:rPr>
              <w:t>苏家屯区</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浑南区</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铁西区</w:t>
            </w:r>
          </w:p>
        </w:tc>
        <w:tc>
          <w:tcPr>
            <w:tcW w:w="447" w:type="pct"/>
            <w:noWrap/>
            <w:vAlign w:val="center"/>
          </w:tcPr>
          <w:p>
            <w:pPr>
              <w:spacing w:line="240" w:lineRule="auto"/>
              <w:ind w:firstLine="0" w:firstLineChars="0"/>
              <w:jc w:val="center"/>
              <w:rPr>
                <w:b/>
                <w:bCs/>
                <w:sz w:val="22"/>
                <w:szCs w:val="22"/>
              </w:rPr>
            </w:pPr>
            <w:r>
              <w:rPr>
                <w:rFonts w:hint="eastAsia" w:cs="仿宋"/>
                <w:b/>
                <w:bCs/>
                <w:sz w:val="22"/>
                <w:szCs w:val="22"/>
              </w:rPr>
              <w:t>沈北新区</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于洪区</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辽中区</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康平县</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法库县</w:t>
            </w:r>
          </w:p>
        </w:tc>
        <w:tc>
          <w:tcPr>
            <w:tcW w:w="368" w:type="pct"/>
            <w:noWrap/>
            <w:vAlign w:val="center"/>
          </w:tcPr>
          <w:p>
            <w:pPr>
              <w:spacing w:line="240" w:lineRule="auto"/>
              <w:ind w:firstLine="0" w:firstLineChars="0"/>
              <w:jc w:val="center"/>
              <w:rPr>
                <w:b/>
                <w:bCs/>
                <w:sz w:val="22"/>
                <w:szCs w:val="22"/>
              </w:rPr>
            </w:pPr>
            <w:r>
              <w:rPr>
                <w:rFonts w:hint="eastAsia" w:cs="仿宋"/>
                <w:b/>
                <w:bCs/>
                <w:sz w:val="22"/>
                <w:szCs w:val="22"/>
              </w:rPr>
              <w:t>新民市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猪</w:t>
            </w:r>
          </w:p>
        </w:tc>
        <w:tc>
          <w:tcPr>
            <w:tcW w:w="289" w:type="pct"/>
            <w:noWrap/>
            <w:vAlign w:val="center"/>
          </w:tcPr>
          <w:p>
            <w:pPr>
              <w:spacing w:line="240" w:lineRule="auto"/>
              <w:ind w:firstLine="0" w:firstLineChars="0"/>
              <w:jc w:val="center"/>
              <w:rPr>
                <w:sz w:val="22"/>
                <w:szCs w:val="22"/>
              </w:rPr>
            </w:pPr>
            <w:r>
              <w:rPr>
                <w:rFonts w:hint="eastAsia" w:cs="仿宋"/>
                <w:sz w:val="22"/>
                <w:szCs w:val="22"/>
              </w:rPr>
              <w:t>头</w:t>
            </w:r>
          </w:p>
        </w:tc>
        <w:tc>
          <w:tcPr>
            <w:tcW w:w="406" w:type="pct"/>
            <w:noWrap/>
            <w:vAlign w:val="center"/>
          </w:tcPr>
          <w:p>
            <w:pPr>
              <w:spacing w:line="240" w:lineRule="auto"/>
              <w:ind w:firstLine="0" w:firstLineChars="0"/>
              <w:jc w:val="center"/>
              <w:rPr>
                <w:sz w:val="22"/>
                <w:szCs w:val="22"/>
              </w:rPr>
            </w:pPr>
            <w:r>
              <w:rPr>
                <w:sz w:val="22"/>
                <w:szCs w:val="22"/>
              </w:rPr>
              <w:t>1682801</w:t>
            </w:r>
          </w:p>
        </w:tc>
        <w:tc>
          <w:tcPr>
            <w:tcW w:w="447" w:type="pct"/>
            <w:noWrap/>
            <w:vAlign w:val="center"/>
          </w:tcPr>
          <w:p>
            <w:pPr>
              <w:spacing w:line="240" w:lineRule="auto"/>
              <w:ind w:firstLine="0" w:firstLineChars="0"/>
              <w:jc w:val="center"/>
              <w:rPr>
                <w:sz w:val="22"/>
                <w:szCs w:val="22"/>
              </w:rPr>
            </w:pPr>
            <w:r>
              <w:rPr>
                <w:sz w:val="22"/>
                <w:szCs w:val="22"/>
              </w:rPr>
              <w:t>94929</w:t>
            </w:r>
          </w:p>
        </w:tc>
        <w:tc>
          <w:tcPr>
            <w:tcW w:w="368" w:type="pct"/>
            <w:noWrap/>
            <w:vAlign w:val="center"/>
          </w:tcPr>
          <w:p>
            <w:pPr>
              <w:spacing w:line="240" w:lineRule="auto"/>
              <w:ind w:firstLine="0" w:firstLineChars="0"/>
              <w:jc w:val="center"/>
              <w:rPr>
                <w:sz w:val="22"/>
                <w:szCs w:val="22"/>
              </w:rPr>
            </w:pPr>
            <w:r>
              <w:rPr>
                <w:sz w:val="22"/>
                <w:szCs w:val="22"/>
              </w:rPr>
              <w:t>25210</w:t>
            </w:r>
          </w:p>
        </w:tc>
        <w:tc>
          <w:tcPr>
            <w:tcW w:w="368" w:type="pct"/>
            <w:noWrap/>
            <w:vAlign w:val="center"/>
          </w:tcPr>
          <w:p>
            <w:pPr>
              <w:spacing w:line="240" w:lineRule="auto"/>
              <w:ind w:firstLine="0" w:firstLineChars="0"/>
              <w:jc w:val="center"/>
              <w:rPr>
                <w:sz w:val="22"/>
                <w:szCs w:val="22"/>
              </w:rPr>
            </w:pPr>
            <w:r>
              <w:rPr>
                <w:sz w:val="22"/>
                <w:szCs w:val="22"/>
              </w:rPr>
              <w:t>101303</w:t>
            </w:r>
          </w:p>
        </w:tc>
        <w:tc>
          <w:tcPr>
            <w:tcW w:w="447" w:type="pct"/>
            <w:noWrap/>
            <w:vAlign w:val="center"/>
          </w:tcPr>
          <w:p>
            <w:pPr>
              <w:spacing w:line="240" w:lineRule="auto"/>
              <w:ind w:firstLine="0" w:firstLineChars="0"/>
              <w:jc w:val="center"/>
              <w:rPr>
                <w:sz w:val="22"/>
                <w:szCs w:val="22"/>
              </w:rPr>
            </w:pPr>
            <w:r>
              <w:rPr>
                <w:sz w:val="22"/>
                <w:szCs w:val="22"/>
              </w:rPr>
              <w:t>23707</w:t>
            </w:r>
          </w:p>
        </w:tc>
        <w:tc>
          <w:tcPr>
            <w:tcW w:w="368" w:type="pct"/>
            <w:noWrap/>
            <w:vAlign w:val="center"/>
          </w:tcPr>
          <w:p>
            <w:pPr>
              <w:spacing w:line="240" w:lineRule="auto"/>
              <w:ind w:firstLine="0" w:firstLineChars="0"/>
              <w:jc w:val="center"/>
              <w:rPr>
                <w:sz w:val="22"/>
                <w:szCs w:val="22"/>
              </w:rPr>
            </w:pPr>
            <w:r>
              <w:rPr>
                <w:sz w:val="22"/>
                <w:szCs w:val="22"/>
              </w:rPr>
              <w:t>31022</w:t>
            </w:r>
          </w:p>
        </w:tc>
        <w:tc>
          <w:tcPr>
            <w:tcW w:w="368" w:type="pct"/>
            <w:noWrap/>
            <w:vAlign w:val="center"/>
          </w:tcPr>
          <w:p>
            <w:pPr>
              <w:spacing w:line="240" w:lineRule="auto"/>
              <w:ind w:firstLine="0" w:firstLineChars="0"/>
              <w:jc w:val="center"/>
              <w:rPr>
                <w:sz w:val="22"/>
                <w:szCs w:val="22"/>
              </w:rPr>
            </w:pPr>
            <w:r>
              <w:rPr>
                <w:sz w:val="22"/>
                <w:szCs w:val="22"/>
              </w:rPr>
              <w:t>513194</w:t>
            </w:r>
          </w:p>
        </w:tc>
        <w:tc>
          <w:tcPr>
            <w:tcW w:w="368" w:type="pct"/>
            <w:noWrap/>
            <w:vAlign w:val="center"/>
          </w:tcPr>
          <w:p>
            <w:pPr>
              <w:spacing w:line="240" w:lineRule="auto"/>
              <w:ind w:firstLine="0" w:firstLineChars="0"/>
              <w:jc w:val="center"/>
              <w:rPr>
                <w:sz w:val="22"/>
                <w:szCs w:val="22"/>
              </w:rPr>
            </w:pPr>
            <w:r>
              <w:rPr>
                <w:sz w:val="22"/>
                <w:szCs w:val="22"/>
              </w:rPr>
              <w:t>178475</w:t>
            </w:r>
          </w:p>
        </w:tc>
        <w:tc>
          <w:tcPr>
            <w:tcW w:w="368" w:type="pct"/>
            <w:noWrap/>
            <w:vAlign w:val="center"/>
          </w:tcPr>
          <w:p>
            <w:pPr>
              <w:spacing w:line="240" w:lineRule="auto"/>
              <w:ind w:firstLine="0" w:firstLineChars="0"/>
              <w:jc w:val="center"/>
              <w:rPr>
                <w:sz w:val="22"/>
                <w:szCs w:val="22"/>
              </w:rPr>
            </w:pPr>
            <w:r>
              <w:rPr>
                <w:sz w:val="22"/>
                <w:szCs w:val="22"/>
              </w:rPr>
              <w:t>237840</w:t>
            </w:r>
          </w:p>
        </w:tc>
        <w:tc>
          <w:tcPr>
            <w:tcW w:w="368" w:type="pct"/>
            <w:noWrap/>
            <w:vAlign w:val="center"/>
          </w:tcPr>
          <w:p>
            <w:pPr>
              <w:spacing w:line="240" w:lineRule="auto"/>
              <w:ind w:firstLine="0" w:firstLineChars="0"/>
              <w:jc w:val="center"/>
              <w:rPr>
                <w:sz w:val="22"/>
                <w:szCs w:val="22"/>
              </w:rPr>
            </w:pPr>
            <w:r>
              <w:rPr>
                <w:sz w:val="22"/>
                <w:szCs w:val="22"/>
              </w:rPr>
              <w:t>477121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黄牛</w:t>
            </w:r>
          </w:p>
        </w:tc>
        <w:tc>
          <w:tcPr>
            <w:tcW w:w="289" w:type="pct"/>
            <w:noWrap/>
            <w:vAlign w:val="center"/>
          </w:tcPr>
          <w:p>
            <w:pPr>
              <w:spacing w:line="240" w:lineRule="auto"/>
              <w:ind w:firstLine="0" w:firstLineChars="0"/>
              <w:jc w:val="center"/>
              <w:rPr>
                <w:sz w:val="22"/>
                <w:szCs w:val="22"/>
              </w:rPr>
            </w:pPr>
            <w:r>
              <w:rPr>
                <w:rFonts w:hint="eastAsia" w:cs="仿宋"/>
                <w:sz w:val="22"/>
                <w:szCs w:val="22"/>
              </w:rPr>
              <w:t>头</w:t>
            </w:r>
          </w:p>
        </w:tc>
        <w:tc>
          <w:tcPr>
            <w:tcW w:w="406" w:type="pct"/>
            <w:noWrap/>
            <w:vAlign w:val="center"/>
          </w:tcPr>
          <w:p>
            <w:pPr>
              <w:spacing w:line="240" w:lineRule="auto"/>
              <w:ind w:firstLine="0" w:firstLineChars="0"/>
              <w:jc w:val="center"/>
              <w:rPr>
                <w:sz w:val="22"/>
                <w:szCs w:val="22"/>
              </w:rPr>
            </w:pPr>
            <w:r>
              <w:rPr>
                <w:sz w:val="22"/>
                <w:szCs w:val="22"/>
              </w:rPr>
              <w:t>556557</w:t>
            </w:r>
          </w:p>
        </w:tc>
        <w:tc>
          <w:tcPr>
            <w:tcW w:w="447" w:type="pct"/>
            <w:noWrap/>
            <w:vAlign w:val="center"/>
          </w:tcPr>
          <w:p>
            <w:pPr>
              <w:spacing w:line="240" w:lineRule="auto"/>
              <w:ind w:firstLine="0" w:firstLineChars="0"/>
              <w:jc w:val="center"/>
              <w:rPr>
                <w:sz w:val="22"/>
                <w:szCs w:val="22"/>
              </w:rPr>
            </w:pPr>
            <w:r>
              <w:rPr>
                <w:sz w:val="22"/>
                <w:szCs w:val="22"/>
              </w:rPr>
              <w:t>6262</w:t>
            </w:r>
          </w:p>
        </w:tc>
        <w:tc>
          <w:tcPr>
            <w:tcW w:w="368" w:type="pct"/>
            <w:noWrap/>
            <w:vAlign w:val="center"/>
          </w:tcPr>
          <w:p>
            <w:pPr>
              <w:spacing w:line="240" w:lineRule="auto"/>
              <w:ind w:firstLine="0" w:firstLineChars="0"/>
              <w:jc w:val="center"/>
              <w:rPr>
                <w:sz w:val="22"/>
                <w:szCs w:val="22"/>
              </w:rPr>
            </w:pPr>
            <w:r>
              <w:rPr>
                <w:sz w:val="22"/>
                <w:szCs w:val="22"/>
              </w:rPr>
              <w:t>3448</w:t>
            </w:r>
          </w:p>
        </w:tc>
        <w:tc>
          <w:tcPr>
            <w:tcW w:w="368" w:type="pct"/>
            <w:noWrap/>
            <w:vAlign w:val="center"/>
          </w:tcPr>
          <w:p>
            <w:pPr>
              <w:spacing w:line="240" w:lineRule="auto"/>
              <w:ind w:firstLine="0" w:firstLineChars="0"/>
              <w:jc w:val="center"/>
              <w:rPr>
                <w:sz w:val="22"/>
                <w:szCs w:val="22"/>
              </w:rPr>
            </w:pPr>
            <w:r>
              <w:rPr>
                <w:sz w:val="22"/>
                <w:szCs w:val="22"/>
              </w:rPr>
              <w:t>4074</w:t>
            </w:r>
          </w:p>
        </w:tc>
        <w:tc>
          <w:tcPr>
            <w:tcW w:w="447" w:type="pct"/>
            <w:noWrap/>
            <w:vAlign w:val="center"/>
          </w:tcPr>
          <w:p>
            <w:pPr>
              <w:spacing w:line="240" w:lineRule="auto"/>
              <w:ind w:firstLine="0" w:firstLineChars="0"/>
              <w:jc w:val="center"/>
              <w:rPr>
                <w:sz w:val="22"/>
                <w:szCs w:val="22"/>
              </w:rPr>
            </w:pPr>
            <w:r>
              <w:rPr>
                <w:sz w:val="22"/>
                <w:szCs w:val="22"/>
              </w:rPr>
              <w:t>5112</w:t>
            </w:r>
          </w:p>
        </w:tc>
        <w:tc>
          <w:tcPr>
            <w:tcW w:w="368" w:type="pct"/>
            <w:noWrap/>
            <w:vAlign w:val="center"/>
          </w:tcPr>
          <w:p>
            <w:pPr>
              <w:spacing w:line="240" w:lineRule="auto"/>
              <w:ind w:firstLine="0" w:firstLineChars="0"/>
              <w:jc w:val="center"/>
              <w:rPr>
                <w:sz w:val="22"/>
                <w:szCs w:val="22"/>
              </w:rPr>
            </w:pPr>
            <w:r>
              <w:rPr>
                <w:sz w:val="22"/>
                <w:szCs w:val="22"/>
              </w:rPr>
              <w:t>5738</w:t>
            </w:r>
          </w:p>
        </w:tc>
        <w:tc>
          <w:tcPr>
            <w:tcW w:w="368" w:type="pct"/>
            <w:noWrap/>
            <w:vAlign w:val="center"/>
          </w:tcPr>
          <w:p>
            <w:pPr>
              <w:spacing w:line="240" w:lineRule="auto"/>
              <w:ind w:firstLine="0" w:firstLineChars="0"/>
              <w:jc w:val="center"/>
              <w:rPr>
                <w:sz w:val="22"/>
                <w:szCs w:val="22"/>
              </w:rPr>
            </w:pPr>
            <w:r>
              <w:rPr>
                <w:sz w:val="22"/>
                <w:szCs w:val="22"/>
              </w:rPr>
              <w:t>242580</w:t>
            </w:r>
          </w:p>
        </w:tc>
        <w:tc>
          <w:tcPr>
            <w:tcW w:w="368" w:type="pct"/>
            <w:noWrap/>
            <w:vAlign w:val="center"/>
          </w:tcPr>
          <w:p>
            <w:pPr>
              <w:spacing w:line="240" w:lineRule="auto"/>
              <w:ind w:firstLine="0" w:firstLineChars="0"/>
              <w:jc w:val="center"/>
              <w:rPr>
                <w:sz w:val="22"/>
                <w:szCs w:val="22"/>
              </w:rPr>
            </w:pPr>
            <w:r>
              <w:rPr>
                <w:sz w:val="22"/>
                <w:szCs w:val="22"/>
              </w:rPr>
              <w:t>108900</w:t>
            </w:r>
          </w:p>
        </w:tc>
        <w:tc>
          <w:tcPr>
            <w:tcW w:w="368" w:type="pct"/>
            <w:noWrap/>
            <w:vAlign w:val="center"/>
          </w:tcPr>
          <w:p>
            <w:pPr>
              <w:spacing w:line="240" w:lineRule="auto"/>
              <w:ind w:firstLine="0" w:firstLineChars="0"/>
              <w:jc w:val="center"/>
              <w:rPr>
                <w:sz w:val="22"/>
                <w:szCs w:val="22"/>
              </w:rPr>
            </w:pPr>
            <w:r>
              <w:rPr>
                <w:sz w:val="22"/>
                <w:szCs w:val="22"/>
              </w:rPr>
              <w:t>98862</w:t>
            </w:r>
          </w:p>
        </w:tc>
        <w:tc>
          <w:tcPr>
            <w:tcW w:w="368" w:type="pct"/>
            <w:noWrap/>
            <w:vAlign w:val="center"/>
          </w:tcPr>
          <w:p>
            <w:pPr>
              <w:spacing w:line="240" w:lineRule="auto"/>
              <w:ind w:firstLine="0" w:firstLineChars="0"/>
              <w:jc w:val="center"/>
              <w:rPr>
                <w:sz w:val="22"/>
                <w:szCs w:val="22"/>
              </w:rPr>
            </w:pPr>
            <w:r>
              <w:rPr>
                <w:sz w:val="22"/>
                <w:szCs w:val="22"/>
              </w:rPr>
              <w:t>81581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奶牛</w:t>
            </w:r>
          </w:p>
        </w:tc>
        <w:tc>
          <w:tcPr>
            <w:tcW w:w="289" w:type="pct"/>
            <w:noWrap/>
            <w:vAlign w:val="center"/>
          </w:tcPr>
          <w:p>
            <w:pPr>
              <w:spacing w:line="240" w:lineRule="auto"/>
              <w:ind w:firstLine="0" w:firstLineChars="0"/>
              <w:jc w:val="center"/>
              <w:rPr>
                <w:sz w:val="22"/>
                <w:szCs w:val="22"/>
              </w:rPr>
            </w:pPr>
            <w:r>
              <w:rPr>
                <w:rFonts w:hint="eastAsia" w:cs="仿宋"/>
                <w:sz w:val="22"/>
                <w:szCs w:val="22"/>
              </w:rPr>
              <w:t>头</w:t>
            </w:r>
          </w:p>
        </w:tc>
        <w:tc>
          <w:tcPr>
            <w:tcW w:w="406" w:type="pct"/>
            <w:noWrap/>
            <w:vAlign w:val="center"/>
          </w:tcPr>
          <w:p>
            <w:pPr>
              <w:spacing w:line="240" w:lineRule="auto"/>
              <w:ind w:firstLine="0" w:firstLineChars="0"/>
              <w:jc w:val="center"/>
              <w:rPr>
                <w:sz w:val="22"/>
                <w:szCs w:val="22"/>
              </w:rPr>
            </w:pPr>
            <w:r>
              <w:rPr>
                <w:sz w:val="22"/>
                <w:szCs w:val="22"/>
              </w:rPr>
              <w:t>98713</w:t>
            </w:r>
          </w:p>
        </w:tc>
        <w:tc>
          <w:tcPr>
            <w:tcW w:w="447" w:type="pct"/>
            <w:noWrap/>
            <w:vAlign w:val="center"/>
          </w:tcPr>
          <w:p>
            <w:pPr>
              <w:spacing w:line="240" w:lineRule="auto"/>
              <w:ind w:firstLine="0" w:firstLineChars="0"/>
              <w:jc w:val="center"/>
              <w:rPr>
                <w:sz w:val="22"/>
                <w:szCs w:val="22"/>
              </w:rPr>
            </w:pPr>
            <w:r>
              <w:rPr>
                <w:sz w:val="22"/>
                <w:szCs w:val="22"/>
              </w:rPr>
              <w:t>1469</w:t>
            </w:r>
          </w:p>
        </w:tc>
        <w:tc>
          <w:tcPr>
            <w:tcW w:w="368" w:type="pct"/>
            <w:noWrap/>
            <w:vAlign w:val="center"/>
          </w:tcPr>
          <w:p>
            <w:pPr>
              <w:spacing w:line="240" w:lineRule="auto"/>
              <w:ind w:firstLine="0" w:firstLineChars="0"/>
              <w:jc w:val="center"/>
              <w:rPr>
                <w:sz w:val="22"/>
                <w:szCs w:val="22"/>
              </w:rPr>
            </w:pPr>
            <w:r>
              <w:rPr>
                <w:sz w:val="22"/>
                <w:szCs w:val="22"/>
              </w:rPr>
              <w:t>170</w:t>
            </w:r>
          </w:p>
        </w:tc>
        <w:tc>
          <w:tcPr>
            <w:tcW w:w="368" w:type="pct"/>
            <w:noWrap/>
            <w:vAlign w:val="center"/>
          </w:tcPr>
          <w:p>
            <w:pPr>
              <w:spacing w:line="240" w:lineRule="auto"/>
              <w:ind w:firstLine="0" w:firstLineChars="0"/>
              <w:jc w:val="center"/>
              <w:rPr>
                <w:sz w:val="22"/>
                <w:szCs w:val="22"/>
              </w:rPr>
            </w:pPr>
            <w:r>
              <w:rPr>
                <w:sz w:val="22"/>
                <w:szCs w:val="22"/>
              </w:rPr>
              <w:t>536</w:t>
            </w:r>
          </w:p>
        </w:tc>
        <w:tc>
          <w:tcPr>
            <w:tcW w:w="447" w:type="pct"/>
            <w:noWrap/>
            <w:vAlign w:val="center"/>
          </w:tcPr>
          <w:p>
            <w:pPr>
              <w:spacing w:line="240" w:lineRule="auto"/>
              <w:ind w:firstLine="0" w:firstLineChars="0"/>
              <w:jc w:val="center"/>
              <w:rPr>
                <w:sz w:val="22"/>
                <w:szCs w:val="22"/>
              </w:rPr>
            </w:pPr>
            <w:r>
              <w:rPr>
                <w:sz w:val="22"/>
                <w:szCs w:val="22"/>
              </w:rPr>
              <w:t>10189</w:t>
            </w:r>
          </w:p>
        </w:tc>
        <w:tc>
          <w:tcPr>
            <w:tcW w:w="368" w:type="pct"/>
            <w:noWrap/>
            <w:vAlign w:val="center"/>
          </w:tcPr>
          <w:p>
            <w:pPr>
              <w:spacing w:line="240" w:lineRule="auto"/>
              <w:ind w:firstLine="0" w:firstLineChars="0"/>
              <w:jc w:val="center"/>
              <w:rPr>
                <w:sz w:val="22"/>
                <w:szCs w:val="22"/>
              </w:rPr>
            </w:pPr>
            <w:r>
              <w:rPr>
                <w:sz w:val="22"/>
                <w:szCs w:val="22"/>
              </w:rPr>
              <w:t>481</w:t>
            </w:r>
          </w:p>
        </w:tc>
        <w:tc>
          <w:tcPr>
            <w:tcW w:w="368" w:type="pct"/>
            <w:noWrap/>
            <w:vAlign w:val="center"/>
          </w:tcPr>
          <w:p>
            <w:pPr>
              <w:spacing w:line="240" w:lineRule="auto"/>
              <w:ind w:firstLine="0" w:firstLineChars="0"/>
              <w:jc w:val="center"/>
              <w:rPr>
                <w:sz w:val="22"/>
                <w:szCs w:val="22"/>
              </w:rPr>
            </w:pPr>
            <w:r>
              <w:rPr>
                <w:sz w:val="22"/>
                <w:szCs w:val="22"/>
              </w:rPr>
              <w:t>330</w:t>
            </w:r>
          </w:p>
        </w:tc>
        <w:tc>
          <w:tcPr>
            <w:tcW w:w="368" w:type="pct"/>
            <w:noWrap/>
            <w:vAlign w:val="center"/>
          </w:tcPr>
          <w:p>
            <w:pPr>
              <w:spacing w:line="240" w:lineRule="auto"/>
              <w:ind w:firstLine="0" w:firstLineChars="0"/>
              <w:jc w:val="center"/>
              <w:rPr>
                <w:sz w:val="22"/>
                <w:szCs w:val="22"/>
              </w:rPr>
            </w:pPr>
            <w:r>
              <w:rPr>
                <w:sz w:val="22"/>
                <w:szCs w:val="22"/>
              </w:rPr>
              <w:t>17112</w:t>
            </w:r>
          </w:p>
        </w:tc>
        <w:tc>
          <w:tcPr>
            <w:tcW w:w="368" w:type="pct"/>
            <w:noWrap/>
            <w:vAlign w:val="center"/>
          </w:tcPr>
          <w:p>
            <w:pPr>
              <w:spacing w:line="240" w:lineRule="auto"/>
              <w:ind w:firstLine="0" w:firstLineChars="0"/>
              <w:jc w:val="center"/>
              <w:rPr>
                <w:sz w:val="22"/>
                <w:szCs w:val="22"/>
              </w:rPr>
            </w:pPr>
            <w:r>
              <w:rPr>
                <w:sz w:val="22"/>
                <w:szCs w:val="22"/>
              </w:rPr>
              <w:t>61362</w:t>
            </w:r>
          </w:p>
        </w:tc>
        <w:tc>
          <w:tcPr>
            <w:tcW w:w="368" w:type="pct"/>
            <w:noWrap/>
            <w:vAlign w:val="center"/>
          </w:tcPr>
          <w:p>
            <w:pPr>
              <w:spacing w:line="240" w:lineRule="auto"/>
              <w:ind w:firstLine="0" w:firstLineChars="0"/>
              <w:jc w:val="center"/>
              <w:rPr>
                <w:sz w:val="22"/>
                <w:szCs w:val="22"/>
              </w:rPr>
            </w:pPr>
            <w:r>
              <w:rPr>
                <w:sz w:val="22"/>
                <w:szCs w:val="22"/>
              </w:rPr>
              <w:t>7064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羊</w:t>
            </w:r>
          </w:p>
        </w:tc>
        <w:tc>
          <w:tcPr>
            <w:tcW w:w="289" w:type="pct"/>
            <w:noWrap/>
            <w:vAlign w:val="center"/>
          </w:tcPr>
          <w:p>
            <w:pPr>
              <w:spacing w:line="240" w:lineRule="auto"/>
              <w:ind w:firstLine="0" w:firstLineChars="0"/>
              <w:jc w:val="center"/>
              <w:rPr>
                <w:sz w:val="22"/>
                <w:szCs w:val="22"/>
              </w:rPr>
            </w:pPr>
            <w:r>
              <w:rPr>
                <w:rFonts w:hint="eastAsia" w:cs="仿宋"/>
                <w:sz w:val="22"/>
                <w:szCs w:val="22"/>
              </w:rPr>
              <w:t>只</w:t>
            </w:r>
          </w:p>
        </w:tc>
        <w:tc>
          <w:tcPr>
            <w:tcW w:w="406" w:type="pct"/>
            <w:noWrap/>
            <w:vAlign w:val="center"/>
          </w:tcPr>
          <w:p>
            <w:pPr>
              <w:spacing w:line="240" w:lineRule="auto"/>
              <w:ind w:firstLine="0" w:firstLineChars="0"/>
              <w:jc w:val="center"/>
              <w:rPr>
                <w:sz w:val="22"/>
                <w:szCs w:val="22"/>
              </w:rPr>
            </w:pPr>
            <w:r>
              <w:rPr>
                <w:sz w:val="22"/>
                <w:szCs w:val="22"/>
              </w:rPr>
              <w:t>680940</w:t>
            </w:r>
          </w:p>
        </w:tc>
        <w:tc>
          <w:tcPr>
            <w:tcW w:w="447" w:type="pct"/>
            <w:noWrap/>
            <w:vAlign w:val="center"/>
          </w:tcPr>
          <w:p>
            <w:pPr>
              <w:spacing w:line="240" w:lineRule="auto"/>
              <w:ind w:firstLine="0" w:firstLineChars="0"/>
              <w:jc w:val="center"/>
              <w:rPr>
                <w:sz w:val="22"/>
                <w:szCs w:val="22"/>
              </w:rPr>
            </w:pPr>
            <w:r>
              <w:rPr>
                <w:sz w:val="22"/>
                <w:szCs w:val="22"/>
              </w:rPr>
              <w:t>19356</w:t>
            </w:r>
          </w:p>
        </w:tc>
        <w:tc>
          <w:tcPr>
            <w:tcW w:w="368" w:type="pct"/>
            <w:noWrap/>
            <w:vAlign w:val="center"/>
          </w:tcPr>
          <w:p>
            <w:pPr>
              <w:spacing w:line="240" w:lineRule="auto"/>
              <w:ind w:firstLine="0" w:firstLineChars="0"/>
              <w:jc w:val="center"/>
              <w:rPr>
                <w:sz w:val="22"/>
                <w:szCs w:val="22"/>
              </w:rPr>
            </w:pPr>
            <w:r>
              <w:rPr>
                <w:sz w:val="22"/>
                <w:szCs w:val="22"/>
              </w:rPr>
              <w:t>28010</w:t>
            </w:r>
          </w:p>
        </w:tc>
        <w:tc>
          <w:tcPr>
            <w:tcW w:w="368" w:type="pct"/>
            <w:noWrap/>
            <w:vAlign w:val="center"/>
          </w:tcPr>
          <w:p>
            <w:pPr>
              <w:spacing w:line="240" w:lineRule="auto"/>
              <w:ind w:firstLine="0" w:firstLineChars="0"/>
              <w:jc w:val="center"/>
              <w:rPr>
                <w:sz w:val="22"/>
                <w:szCs w:val="22"/>
              </w:rPr>
            </w:pPr>
            <w:r>
              <w:rPr>
                <w:sz w:val="22"/>
                <w:szCs w:val="22"/>
              </w:rPr>
              <w:t>10820</w:t>
            </w:r>
          </w:p>
        </w:tc>
        <w:tc>
          <w:tcPr>
            <w:tcW w:w="447" w:type="pct"/>
            <w:noWrap/>
            <w:vAlign w:val="center"/>
          </w:tcPr>
          <w:p>
            <w:pPr>
              <w:spacing w:line="240" w:lineRule="auto"/>
              <w:ind w:firstLine="0" w:firstLineChars="0"/>
              <w:jc w:val="center"/>
              <w:rPr>
                <w:sz w:val="22"/>
                <w:szCs w:val="22"/>
              </w:rPr>
            </w:pPr>
            <w:r>
              <w:rPr>
                <w:sz w:val="22"/>
                <w:szCs w:val="22"/>
              </w:rPr>
              <w:t>25268</w:t>
            </w:r>
          </w:p>
        </w:tc>
        <w:tc>
          <w:tcPr>
            <w:tcW w:w="368" w:type="pct"/>
            <w:noWrap/>
            <w:vAlign w:val="center"/>
          </w:tcPr>
          <w:p>
            <w:pPr>
              <w:spacing w:line="240" w:lineRule="auto"/>
              <w:ind w:firstLine="0" w:firstLineChars="0"/>
              <w:jc w:val="center"/>
              <w:rPr>
                <w:sz w:val="22"/>
                <w:szCs w:val="22"/>
              </w:rPr>
            </w:pPr>
            <w:r>
              <w:rPr>
                <w:sz w:val="22"/>
                <w:szCs w:val="22"/>
              </w:rPr>
              <w:t>17468</w:t>
            </w:r>
          </w:p>
        </w:tc>
        <w:tc>
          <w:tcPr>
            <w:tcW w:w="368" w:type="pct"/>
            <w:noWrap/>
            <w:vAlign w:val="center"/>
          </w:tcPr>
          <w:p>
            <w:pPr>
              <w:spacing w:line="240" w:lineRule="auto"/>
              <w:ind w:firstLine="0" w:firstLineChars="0"/>
              <w:jc w:val="center"/>
              <w:rPr>
                <w:sz w:val="22"/>
                <w:szCs w:val="22"/>
              </w:rPr>
            </w:pPr>
            <w:r>
              <w:rPr>
                <w:sz w:val="22"/>
                <w:szCs w:val="22"/>
              </w:rPr>
              <w:t>34617</w:t>
            </w:r>
          </w:p>
        </w:tc>
        <w:tc>
          <w:tcPr>
            <w:tcW w:w="368" w:type="pct"/>
            <w:noWrap/>
            <w:vAlign w:val="center"/>
          </w:tcPr>
          <w:p>
            <w:pPr>
              <w:spacing w:line="240" w:lineRule="auto"/>
              <w:ind w:firstLine="0" w:firstLineChars="0"/>
              <w:jc w:val="center"/>
              <w:rPr>
                <w:sz w:val="22"/>
                <w:szCs w:val="22"/>
              </w:rPr>
            </w:pPr>
            <w:r>
              <w:rPr>
                <w:sz w:val="22"/>
                <w:szCs w:val="22"/>
              </w:rPr>
              <w:t>129601</w:t>
            </w:r>
          </w:p>
        </w:tc>
        <w:tc>
          <w:tcPr>
            <w:tcW w:w="368" w:type="pct"/>
            <w:noWrap/>
            <w:vAlign w:val="center"/>
          </w:tcPr>
          <w:p>
            <w:pPr>
              <w:spacing w:line="240" w:lineRule="auto"/>
              <w:ind w:firstLine="0" w:firstLineChars="0"/>
              <w:jc w:val="center"/>
              <w:rPr>
                <w:sz w:val="22"/>
                <w:szCs w:val="22"/>
              </w:rPr>
            </w:pPr>
            <w:r>
              <w:rPr>
                <w:sz w:val="22"/>
                <w:szCs w:val="22"/>
              </w:rPr>
              <w:t>132938</w:t>
            </w:r>
          </w:p>
        </w:tc>
        <w:tc>
          <w:tcPr>
            <w:tcW w:w="368" w:type="pct"/>
            <w:noWrap/>
            <w:vAlign w:val="center"/>
          </w:tcPr>
          <w:p>
            <w:pPr>
              <w:spacing w:line="240" w:lineRule="auto"/>
              <w:ind w:firstLine="0" w:firstLineChars="0"/>
              <w:jc w:val="center"/>
              <w:rPr>
                <w:sz w:val="22"/>
                <w:szCs w:val="22"/>
              </w:rPr>
            </w:pPr>
            <w:r>
              <w:rPr>
                <w:sz w:val="22"/>
                <w:szCs w:val="22"/>
              </w:rPr>
              <w:t>282862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肉鸡</w:t>
            </w:r>
          </w:p>
        </w:tc>
        <w:tc>
          <w:tcPr>
            <w:tcW w:w="289" w:type="pct"/>
            <w:noWrap/>
            <w:vAlign w:val="center"/>
          </w:tcPr>
          <w:p>
            <w:pPr>
              <w:spacing w:line="240" w:lineRule="auto"/>
              <w:ind w:firstLine="0" w:firstLineChars="0"/>
              <w:jc w:val="center"/>
              <w:rPr>
                <w:sz w:val="22"/>
                <w:szCs w:val="22"/>
              </w:rPr>
            </w:pPr>
            <w:r>
              <w:rPr>
                <w:rFonts w:hint="eastAsia" w:cs="仿宋"/>
                <w:sz w:val="22"/>
                <w:szCs w:val="22"/>
              </w:rPr>
              <w:t>万只</w:t>
            </w:r>
          </w:p>
        </w:tc>
        <w:tc>
          <w:tcPr>
            <w:tcW w:w="406" w:type="pct"/>
            <w:noWrap/>
            <w:vAlign w:val="center"/>
          </w:tcPr>
          <w:p>
            <w:pPr>
              <w:spacing w:line="240" w:lineRule="auto"/>
              <w:ind w:firstLine="0" w:firstLineChars="0"/>
              <w:jc w:val="center"/>
              <w:rPr>
                <w:sz w:val="22"/>
                <w:szCs w:val="22"/>
              </w:rPr>
            </w:pPr>
            <w:r>
              <w:rPr>
                <w:sz w:val="22"/>
                <w:szCs w:val="22"/>
              </w:rPr>
              <w:t>1295</w:t>
            </w:r>
          </w:p>
        </w:tc>
        <w:tc>
          <w:tcPr>
            <w:tcW w:w="447" w:type="pct"/>
            <w:noWrap/>
            <w:vAlign w:val="center"/>
          </w:tcPr>
          <w:p>
            <w:pPr>
              <w:spacing w:line="240" w:lineRule="auto"/>
              <w:ind w:firstLine="0" w:firstLineChars="0"/>
              <w:jc w:val="center"/>
              <w:rPr>
                <w:sz w:val="22"/>
                <w:szCs w:val="22"/>
              </w:rPr>
            </w:pPr>
            <w:r>
              <w:rPr>
                <w:sz w:val="22"/>
                <w:szCs w:val="22"/>
              </w:rPr>
              <w:t>104</w:t>
            </w:r>
          </w:p>
        </w:tc>
        <w:tc>
          <w:tcPr>
            <w:tcW w:w="368" w:type="pct"/>
            <w:noWrap/>
            <w:vAlign w:val="center"/>
          </w:tcPr>
          <w:p>
            <w:pPr>
              <w:spacing w:line="240" w:lineRule="auto"/>
              <w:ind w:firstLine="0" w:firstLineChars="0"/>
              <w:jc w:val="center"/>
              <w:rPr>
                <w:sz w:val="22"/>
                <w:szCs w:val="22"/>
              </w:rPr>
            </w:pPr>
            <w:r>
              <w:rPr>
                <w:sz w:val="22"/>
                <w:szCs w:val="22"/>
              </w:rPr>
              <w:t>6</w:t>
            </w:r>
          </w:p>
        </w:tc>
        <w:tc>
          <w:tcPr>
            <w:tcW w:w="368" w:type="pct"/>
            <w:noWrap/>
            <w:vAlign w:val="center"/>
          </w:tcPr>
          <w:p>
            <w:pPr>
              <w:spacing w:line="240" w:lineRule="auto"/>
              <w:ind w:firstLine="0" w:firstLineChars="0"/>
              <w:jc w:val="center"/>
              <w:rPr>
                <w:sz w:val="22"/>
                <w:szCs w:val="22"/>
              </w:rPr>
            </w:pPr>
            <w:r>
              <w:rPr>
                <w:sz w:val="22"/>
                <w:szCs w:val="22"/>
              </w:rPr>
              <w:t>26</w:t>
            </w:r>
          </w:p>
        </w:tc>
        <w:tc>
          <w:tcPr>
            <w:tcW w:w="447" w:type="pct"/>
            <w:noWrap/>
            <w:vAlign w:val="center"/>
          </w:tcPr>
          <w:p>
            <w:pPr>
              <w:spacing w:line="240" w:lineRule="auto"/>
              <w:ind w:firstLine="0" w:firstLineChars="0"/>
              <w:jc w:val="center"/>
              <w:rPr>
                <w:sz w:val="22"/>
                <w:szCs w:val="22"/>
              </w:rPr>
            </w:pPr>
            <w:r>
              <w:rPr>
                <w:sz w:val="22"/>
                <w:szCs w:val="22"/>
              </w:rPr>
              <w:t>285</w:t>
            </w:r>
          </w:p>
        </w:tc>
        <w:tc>
          <w:tcPr>
            <w:tcW w:w="368" w:type="pct"/>
            <w:noWrap/>
            <w:vAlign w:val="center"/>
          </w:tcPr>
          <w:p>
            <w:pPr>
              <w:spacing w:line="240" w:lineRule="auto"/>
              <w:ind w:firstLine="0" w:firstLineChars="0"/>
              <w:jc w:val="center"/>
              <w:rPr>
                <w:sz w:val="22"/>
                <w:szCs w:val="22"/>
              </w:rPr>
            </w:pPr>
            <w:r>
              <w:rPr>
                <w:sz w:val="22"/>
                <w:szCs w:val="22"/>
              </w:rPr>
              <w:t>8</w:t>
            </w:r>
          </w:p>
        </w:tc>
        <w:tc>
          <w:tcPr>
            <w:tcW w:w="368" w:type="pct"/>
            <w:noWrap/>
            <w:vAlign w:val="center"/>
          </w:tcPr>
          <w:p>
            <w:pPr>
              <w:spacing w:line="240" w:lineRule="auto"/>
              <w:ind w:firstLine="0" w:firstLineChars="0"/>
              <w:jc w:val="center"/>
              <w:rPr>
                <w:sz w:val="22"/>
                <w:szCs w:val="22"/>
              </w:rPr>
            </w:pPr>
            <w:r>
              <w:rPr>
                <w:sz w:val="22"/>
                <w:szCs w:val="22"/>
              </w:rPr>
              <w:t>228</w:t>
            </w:r>
          </w:p>
        </w:tc>
        <w:tc>
          <w:tcPr>
            <w:tcW w:w="368" w:type="pct"/>
            <w:noWrap/>
            <w:vAlign w:val="center"/>
          </w:tcPr>
          <w:p>
            <w:pPr>
              <w:spacing w:line="240" w:lineRule="auto"/>
              <w:ind w:firstLine="0" w:firstLineChars="0"/>
              <w:jc w:val="center"/>
              <w:rPr>
                <w:sz w:val="22"/>
                <w:szCs w:val="22"/>
              </w:rPr>
            </w:pPr>
            <w:r>
              <w:rPr>
                <w:sz w:val="22"/>
                <w:szCs w:val="22"/>
              </w:rPr>
              <w:t>323</w:t>
            </w:r>
          </w:p>
        </w:tc>
        <w:tc>
          <w:tcPr>
            <w:tcW w:w="368" w:type="pct"/>
            <w:noWrap/>
            <w:vAlign w:val="center"/>
          </w:tcPr>
          <w:p>
            <w:pPr>
              <w:spacing w:line="240" w:lineRule="auto"/>
              <w:ind w:firstLine="0" w:firstLineChars="0"/>
              <w:jc w:val="center"/>
              <w:rPr>
                <w:sz w:val="22"/>
                <w:szCs w:val="22"/>
              </w:rPr>
            </w:pPr>
            <w:r>
              <w:rPr>
                <w:sz w:val="22"/>
                <w:szCs w:val="22"/>
              </w:rPr>
              <w:t>237</w:t>
            </w:r>
          </w:p>
        </w:tc>
        <w:tc>
          <w:tcPr>
            <w:tcW w:w="368" w:type="pct"/>
            <w:noWrap/>
            <w:vAlign w:val="center"/>
          </w:tcPr>
          <w:p>
            <w:pPr>
              <w:spacing w:line="240" w:lineRule="auto"/>
              <w:ind w:firstLine="0" w:firstLineChars="0"/>
              <w:jc w:val="center"/>
              <w:rPr>
                <w:sz w:val="22"/>
                <w:szCs w:val="22"/>
              </w:rPr>
            </w:pPr>
            <w:r>
              <w:rPr>
                <w:sz w:val="22"/>
                <w:szCs w:val="22"/>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蛋鸡</w:t>
            </w:r>
          </w:p>
        </w:tc>
        <w:tc>
          <w:tcPr>
            <w:tcW w:w="289" w:type="pct"/>
            <w:noWrap/>
            <w:vAlign w:val="center"/>
          </w:tcPr>
          <w:p>
            <w:pPr>
              <w:spacing w:line="240" w:lineRule="auto"/>
              <w:ind w:firstLine="0" w:firstLineChars="0"/>
              <w:jc w:val="center"/>
              <w:rPr>
                <w:sz w:val="22"/>
                <w:szCs w:val="22"/>
              </w:rPr>
            </w:pPr>
            <w:r>
              <w:rPr>
                <w:rFonts w:hint="eastAsia" w:cs="仿宋"/>
                <w:sz w:val="22"/>
                <w:szCs w:val="22"/>
              </w:rPr>
              <w:t>万只</w:t>
            </w:r>
          </w:p>
        </w:tc>
        <w:tc>
          <w:tcPr>
            <w:tcW w:w="406" w:type="pct"/>
            <w:noWrap/>
            <w:vAlign w:val="center"/>
          </w:tcPr>
          <w:p>
            <w:pPr>
              <w:spacing w:line="240" w:lineRule="auto"/>
              <w:ind w:firstLine="0" w:firstLineChars="0"/>
              <w:jc w:val="center"/>
              <w:rPr>
                <w:sz w:val="22"/>
                <w:szCs w:val="22"/>
              </w:rPr>
            </w:pPr>
            <w:r>
              <w:rPr>
                <w:sz w:val="22"/>
                <w:szCs w:val="22"/>
              </w:rPr>
              <w:t>995</w:t>
            </w:r>
          </w:p>
        </w:tc>
        <w:tc>
          <w:tcPr>
            <w:tcW w:w="447" w:type="pct"/>
            <w:noWrap/>
            <w:vAlign w:val="center"/>
          </w:tcPr>
          <w:p>
            <w:pPr>
              <w:spacing w:line="240" w:lineRule="auto"/>
              <w:ind w:firstLine="0" w:firstLineChars="0"/>
              <w:jc w:val="center"/>
              <w:rPr>
                <w:sz w:val="22"/>
                <w:szCs w:val="22"/>
              </w:rPr>
            </w:pPr>
            <w:r>
              <w:rPr>
                <w:sz w:val="22"/>
                <w:szCs w:val="22"/>
              </w:rPr>
              <w:t>48</w:t>
            </w:r>
          </w:p>
        </w:tc>
        <w:tc>
          <w:tcPr>
            <w:tcW w:w="368" w:type="pct"/>
            <w:noWrap/>
            <w:vAlign w:val="center"/>
          </w:tcPr>
          <w:p>
            <w:pPr>
              <w:spacing w:line="240" w:lineRule="auto"/>
              <w:ind w:firstLine="0" w:firstLineChars="0"/>
              <w:jc w:val="center"/>
              <w:rPr>
                <w:sz w:val="22"/>
                <w:szCs w:val="22"/>
              </w:rPr>
            </w:pPr>
            <w:r>
              <w:rPr>
                <w:sz w:val="22"/>
                <w:szCs w:val="22"/>
              </w:rPr>
              <w:t>16</w:t>
            </w:r>
          </w:p>
        </w:tc>
        <w:tc>
          <w:tcPr>
            <w:tcW w:w="368" w:type="pct"/>
            <w:noWrap/>
            <w:vAlign w:val="center"/>
          </w:tcPr>
          <w:p>
            <w:pPr>
              <w:spacing w:line="240" w:lineRule="auto"/>
              <w:ind w:firstLine="0" w:firstLineChars="0"/>
              <w:jc w:val="center"/>
              <w:rPr>
                <w:sz w:val="22"/>
                <w:szCs w:val="22"/>
              </w:rPr>
            </w:pPr>
            <w:r>
              <w:rPr>
                <w:sz w:val="22"/>
                <w:szCs w:val="22"/>
              </w:rPr>
              <w:t>70</w:t>
            </w:r>
          </w:p>
        </w:tc>
        <w:tc>
          <w:tcPr>
            <w:tcW w:w="447" w:type="pct"/>
            <w:noWrap/>
            <w:vAlign w:val="center"/>
          </w:tcPr>
          <w:p>
            <w:pPr>
              <w:spacing w:line="240" w:lineRule="auto"/>
              <w:ind w:firstLine="0" w:firstLineChars="0"/>
              <w:jc w:val="center"/>
              <w:rPr>
                <w:sz w:val="22"/>
                <w:szCs w:val="22"/>
              </w:rPr>
            </w:pPr>
            <w:r>
              <w:rPr>
                <w:sz w:val="22"/>
                <w:szCs w:val="22"/>
              </w:rPr>
              <w:t>359</w:t>
            </w:r>
          </w:p>
        </w:tc>
        <w:tc>
          <w:tcPr>
            <w:tcW w:w="368" w:type="pct"/>
            <w:noWrap/>
            <w:vAlign w:val="center"/>
          </w:tcPr>
          <w:p>
            <w:pPr>
              <w:spacing w:line="240" w:lineRule="auto"/>
              <w:ind w:firstLine="0" w:firstLineChars="0"/>
              <w:jc w:val="center"/>
              <w:rPr>
                <w:sz w:val="22"/>
                <w:szCs w:val="22"/>
              </w:rPr>
            </w:pPr>
            <w:r>
              <w:rPr>
                <w:sz w:val="22"/>
                <w:szCs w:val="22"/>
              </w:rPr>
              <w:t>37</w:t>
            </w:r>
          </w:p>
        </w:tc>
        <w:tc>
          <w:tcPr>
            <w:tcW w:w="368" w:type="pct"/>
            <w:noWrap/>
            <w:vAlign w:val="center"/>
          </w:tcPr>
          <w:p>
            <w:pPr>
              <w:spacing w:line="240" w:lineRule="auto"/>
              <w:ind w:firstLine="0" w:firstLineChars="0"/>
              <w:jc w:val="center"/>
              <w:rPr>
                <w:sz w:val="22"/>
                <w:szCs w:val="22"/>
              </w:rPr>
            </w:pPr>
            <w:r>
              <w:rPr>
                <w:sz w:val="22"/>
                <w:szCs w:val="22"/>
              </w:rPr>
              <w:t>227</w:t>
            </w:r>
          </w:p>
        </w:tc>
        <w:tc>
          <w:tcPr>
            <w:tcW w:w="368" w:type="pct"/>
            <w:noWrap/>
            <w:vAlign w:val="center"/>
          </w:tcPr>
          <w:p>
            <w:pPr>
              <w:spacing w:line="240" w:lineRule="auto"/>
              <w:ind w:firstLine="0" w:firstLineChars="0"/>
              <w:jc w:val="center"/>
              <w:rPr>
                <w:sz w:val="22"/>
                <w:szCs w:val="22"/>
              </w:rPr>
            </w:pPr>
            <w:r>
              <w:rPr>
                <w:sz w:val="22"/>
                <w:szCs w:val="22"/>
              </w:rPr>
              <w:t>158</w:t>
            </w:r>
          </w:p>
        </w:tc>
        <w:tc>
          <w:tcPr>
            <w:tcW w:w="368" w:type="pct"/>
            <w:noWrap/>
            <w:vAlign w:val="center"/>
          </w:tcPr>
          <w:p>
            <w:pPr>
              <w:spacing w:line="240" w:lineRule="auto"/>
              <w:ind w:firstLine="0" w:firstLineChars="0"/>
              <w:jc w:val="center"/>
              <w:rPr>
                <w:sz w:val="22"/>
                <w:szCs w:val="22"/>
              </w:rPr>
            </w:pPr>
            <w:r>
              <w:rPr>
                <w:sz w:val="22"/>
                <w:szCs w:val="22"/>
              </w:rPr>
              <w:t>46</w:t>
            </w:r>
          </w:p>
        </w:tc>
        <w:tc>
          <w:tcPr>
            <w:tcW w:w="368" w:type="pct"/>
            <w:noWrap/>
            <w:vAlign w:val="center"/>
          </w:tcPr>
          <w:p>
            <w:pPr>
              <w:spacing w:line="240" w:lineRule="auto"/>
              <w:ind w:firstLine="0" w:firstLineChars="0"/>
              <w:jc w:val="center"/>
              <w:rPr>
                <w:sz w:val="22"/>
                <w:szCs w:val="22"/>
              </w:rPr>
            </w:pPr>
            <w:r>
              <w:rPr>
                <w:sz w:val="22"/>
                <w:szCs w:val="22"/>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猪当量</w:t>
            </w:r>
          </w:p>
        </w:tc>
        <w:tc>
          <w:tcPr>
            <w:tcW w:w="289" w:type="pct"/>
            <w:noWrap/>
            <w:vAlign w:val="center"/>
          </w:tcPr>
          <w:p>
            <w:pPr>
              <w:spacing w:line="240" w:lineRule="auto"/>
              <w:ind w:firstLine="0" w:firstLineChars="0"/>
              <w:jc w:val="center"/>
              <w:rPr>
                <w:sz w:val="22"/>
                <w:szCs w:val="22"/>
              </w:rPr>
            </w:pPr>
            <w:r>
              <w:rPr>
                <w:rFonts w:hint="eastAsia" w:cs="仿宋"/>
                <w:sz w:val="22"/>
                <w:szCs w:val="22"/>
              </w:rPr>
              <w:t>万头</w:t>
            </w:r>
          </w:p>
        </w:tc>
        <w:tc>
          <w:tcPr>
            <w:tcW w:w="406" w:type="pct"/>
            <w:noWrap/>
            <w:vAlign w:val="center"/>
          </w:tcPr>
          <w:p>
            <w:pPr>
              <w:spacing w:line="240" w:lineRule="auto"/>
              <w:ind w:firstLine="0" w:firstLineChars="0"/>
              <w:jc w:val="center"/>
              <w:rPr>
                <w:sz w:val="22"/>
                <w:szCs w:val="22"/>
              </w:rPr>
            </w:pPr>
            <w:r>
              <w:rPr>
                <w:sz w:val="22"/>
                <w:szCs w:val="22"/>
              </w:rPr>
              <w:t>532.37</w:t>
            </w:r>
          </w:p>
        </w:tc>
        <w:tc>
          <w:tcPr>
            <w:tcW w:w="447" w:type="pct"/>
            <w:noWrap/>
            <w:vAlign w:val="center"/>
          </w:tcPr>
          <w:p>
            <w:pPr>
              <w:spacing w:line="240" w:lineRule="auto"/>
              <w:ind w:firstLine="0" w:firstLineChars="0"/>
              <w:jc w:val="center"/>
              <w:rPr>
                <w:sz w:val="22"/>
                <w:szCs w:val="22"/>
              </w:rPr>
            </w:pPr>
            <w:r>
              <w:rPr>
                <w:sz w:val="22"/>
                <w:szCs w:val="22"/>
              </w:rPr>
              <w:t>19.32</w:t>
            </w:r>
          </w:p>
        </w:tc>
        <w:tc>
          <w:tcPr>
            <w:tcW w:w="368" w:type="pct"/>
            <w:noWrap/>
            <w:vAlign w:val="center"/>
          </w:tcPr>
          <w:p>
            <w:pPr>
              <w:spacing w:line="240" w:lineRule="auto"/>
              <w:ind w:firstLine="0" w:firstLineChars="0"/>
              <w:jc w:val="center"/>
              <w:rPr>
                <w:sz w:val="22"/>
                <w:szCs w:val="22"/>
              </w:rPr>
            </w:pPr>
            <w:r>
              <w:rPr>
                <w:sz w:val="22"/>
                <w:szCs w:val="22"/>
              </w:rPr>
              <w:t>5.77</w:t>
            </w:r>
          </w:p>
        </w:tc>
        <w:tc>
          <w:tcPr>
            <w:tcW w:w="368" w:type="pct"/>
            <w:noWrap/>
            <w:vAlign w:val="center"/>
          </w:tcPr>
          <w:p>
            <w:pPr>
              <w:spacing w:line="240" w:lineRule="auto"/>
              <w:ind w:firstLine="0" w:firstLineChars="0"/>
              <w:jc w:val="center"/>
              <w:rPr>
                <w:sz w:val="22"/>
                <w:szCs w:val="22"/>
              </w:rPr>
            </w:pPr>
            <w:r>
              <w:rPr>
                <w:sz w:val="22"/>
                <w:szCs w:val="22"/>
              </w:rPr>
              <w:t>16.09</w:t>
            </w:r>
          </w:p>
        </w:tc>
        <w:tc>
          <w:tcPr>
            <w:tcW w:w="447" w:type="pct"/>
            <w:noWrap/>
            <w:vAlign w:val="center"/>
          </w:tcPr>
          <w:p>
            <w:pPr>
              <w:spacing w:line="240" w:lineRule="auto"/>
              <w:ind w:firstLine="0" w:firstLineChars="0"/>
              <w:jc w:val="center"/>
              <w:rPr>
                <w:sz w:val="22"/>
                <w:szCs w:val="22"/>
              </w:rPr>
            </w:pPr>
            <w:r>
              <w:rPr>
                <w:sz w:val="22"/>
                <w:szCs w:val="22"/>
              </w:rPr>
              <w:t>37.03</w:t>
            </w:r>
          </w:p>
        </w:tc>
        <w:tc>
          <w:tcPr>
            <w:tcW w:w="368" w:type="pct"/>
            <w:noWrap/>
            <w:vAlign w:val="center"/>
          </w:tcPr>
          <w:p>
            <w:pPr>
              <w:spacing w:line="240" w:lineRule="auto"/>
              <w:ind w:firstLine="0" w:firstLineChars="0"/>
              <w:jc w:val="center"/>
              <w:rPr>
                <w:sz w:val="22"/>
                <w:szCs w:val="22"/>
              </w:rPr>
            </w:pPr>
            <w:r>
              <w:rPr>
                <w:sz w:val="22"/>
                <w:szCs w:val="22"/>
              </w:rPr>
              <w:t>7.8</w:t>
            </w:r>
          </w:p>
        </w:tc>
        <w:tc>
          <w:tcPr>
            <w:tcW w:w="368" w:type="pct"/>
            <w:noWrap/>
            <w:vAlign w:val="center"/>
          </w:tcPr>
          <w:p>
            <w:pPr>
              <w:spacing w:line="240" w:lineRule="auto"/>
              <w:ind w:firstLine="0" w:firstLineChars="0"/>
              <w:jc w:val="center"/>
              <w:rPr>
                <w:sz w:val="22"/>
                <w:szCs w:val="22"/>
              </w:rPr>
            </w:pPr>
            <w:r>
              <w:rPr>
                <w:sz w:val="22"/>
                <w:szCs w:val="22"/>
              </w:rPr>
              <w:t>151.88</w:t>
            </w:r>
          </w:p>
        </w:tc>
        <w:tc>
          <w:tcPr>
            <w:tcW w:w="368" w:type="pct"/>
            <w:noWrap/>
            <w:vAlign w:val="center"/>
          </w:tcPr>
          <w:p>
            <w:pPr>
              <w:spacing w:line="240" w:lineRule="auto"/>
              <w:ind w:firstLine="0" w:firstLineChars="0"/>
              <w:jc w:val="center"/>
              <w:rPr>
                <w:sz w:val="22"/>
                <w:szCs w:val="22"/>
              </w:rPr>
            </w:pPr>
            <w:r>
              <w:rPr>
                <w:sz w:val="22"/>
                <w:szCs w:val="22"/>
              </w:rPr>
              <w:t>88.92</w:t>
            </w:r>
          </w:p>
        </w:tc>
        <w:tc>
          <w:tcPr>
            <w:tcW w:w="368" w:type="pct"/>
            <w:noWrap/>
            <w:vAlign w:val="center"/>
          </w:tcPr>
          <w:p>
            <w:pPr>
              <w:spacing w:line="240" w:lineRule="auto"/>
              <w:ind w:firstLine="0" w:firstLineChars="0"/>
              <w:jc w:val="center"/>
              <w:rPr>
                <w:sz w:val="22"/>
                <w:szCs w:val="22"/>
              </w:rPr>
            </w:pPr>
            <w:r>
              <w:rPr>
                <w:sz w:val="22"/>
                <w:szCs w:val="22"/>
              </w:rPr>
              <w:t>110.59</w:t>
            </w:r>
          </w:p>
        </w:tc>
        <w:tc>
          <w:tcPr>
            <w:tcW w:w="368" w:type="pct"/>
            <w:noWrap/>
            <w:vAlign w:val="center"/>
          </w:tcPr>
          <w:p>
            <w:pPr>
              <w:spacing w:line="240" w:lineRule="auto"/>
              <w:ind w:firstLine="0" w:firstLineChars="0"/>
              <w:jc w:val="center"/>
              <w:rPr>
                <w:sz w:val="22"/>
                <w:szCs w:val="22"/>
              </w:rPr>
            </w:pPr>
            <w:r>
              <w:rPr>
                <w:sz w:val="22"/>
                <w:szCs w:val="22"/>
              </w:rPr>
              <w:t>94.96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承载力阈值</w:t>
            </w:r>
          </w:p>
        </w:tc>
        <w:tc>
          <w:tcPr>
            <w:tcW w:w="289" w:type="pct"/>
            <w:noWrap/>
            <w:vAlign w:val="center"/>
          </w:tcPr>
          <w:p>
            <w:pPr>
              <w:spacing w:line="240" w:lineRule="auto"/>
              <w:ind w:firstLine="0" w:firstLineChars="0"/>
              <w:jc w:val="center"/>
              <w:rPr>
                <w:sz w:val="22"/>
                <w:szCs w:val="22"/>
              </w:rPr>
            </w:pPr>
            <w:r>
              <w:rPr>
                <w:rFonts w:hint="eastAsia" w:cs="仿宋"/>
                <w:sz w:val="22"/>
                <w:szCs w:val="22"/>
              </w:rPr>
              <w:t>万头</w:t>
            </w:r>
          </w:p>
        </w:tc>
        <w:tc>
          <w:tcPr>
            <w:tcW w:w="406" w:type="pct"/>
            <w:noWrap/>
            <w:vAlign w:val="center"/>
          </w:tcPr>
          <w:p>
            <w:pPr>
              <w:spacing w:line="240" w:lineRule="auto"/>
              <w:ind w:firstLine="0" w:firstLineChars="0"/>
              <w:jc w:val="center"/>
              <w:rPr>
                <w:sz w:val="22"/>
                <w:szCs w:val="22"/>
              </w:rPr>
            </w:pPr>
            <w:r>
              <w:rPr>
                <w:rFonts w:eastAsia="等线"/>
                <w:sz w:val="22"/>
                <w:szCs w:val="22"/>
              </w:rPr>
              <w:t>1151.6</w:t>
            </w:r>
          </w:p>
        </w:tc>
        <w:tc>
          <w:tcPr>
            <w:tcW w:w="447" w:type="pct"/>
            <w:noWrap/>
            <w:vAlign w:val="center"/>
          </w:tcPr>
          <w:p>
            <w:pPr>
              <w:spacing w:line="240" w:lineRule="auto"/>
              <w:ind w:firstLine="0" w:firstLineChars="0"/>
              <w:jc w:val="center"/>
              <w:rPr>
                <w:sz w:val="22"/>
                <w:szCs w:val="22"/>
              </w:rPr>
            </w:pPr>
            <w:r>
              <w:rPr>
                <w:rFonts w:eastAsia="等线"/>
                <w:sz w:val="22"/>
                <w:szCs w:val="22"/>
              </w:rPr>
              <w:t>65.85</w:t>
            </w:r>
          </w:p>
        </w:tc>
        <w:tc>
          <w:tcPr>
            <w:tcW w:w="368" w:type="pct"/>
            <w:noWrap/>
            <w:vAlign w:val="center"/>
          </w:tcPr>
          <w:p>
            <w:pPr>
              <w:spacing w:line="240" w:lineRule="auto"/>
              <w:ind w:firstLine="0" w:firstLineChars="0"/>
              <w:jc w:val="center"/>
              <w:rPr>
                <w:sz w:val="22"/>
                <w:szCs w:val="22"/>
              </w:rPr>
            </w:pPr>
            <w:r>
              <w:rPr>
                <w:rFonts w:eastAsia="等线"/>
                <w:sz w:val="22"/>
                <w:szCs w:val="22"/>
              </w:rPr>
              <w:t>54.2</w:t>
            </w:r>
          </w:p>
        </w:tc>
        <w:tc>
          <w:tcPr>
            <w:tcW w:w="368" w:type="pct"/>
            <w:noWrap/>
            <w:vAlign w:val="center"/>
          </w:tcPr>
          <w:p>
            <w:pPr>
              <w:spacing w:line="240" w:lineRule="auto"/>
              <w:ind w:firstLine="0" w:firstLineChars="0"/>
              <w:jc w:val="center"/>
              <w:rPr>
                <w:sz w:val="22"/>
                <w:szCs w:val="22"/>
              </w:rPr>
            </w:pPr>
            <w:r>
              <w:rPr>
                <w:rFonts w:eastAsia="等线"/>
                <w:sz w:val="22"/>
                <w:szCs w:val="22"/>
              </w:rPr>
              <w:t>10</w:t>
            </w:r>
          </w:p>
        </w:tc>
        <w:tc>
          <w:tcPr>
            <w:tcW w:w="447" w:type="pct"/>
            <w:noWrap/>
            <w:vAlign w:val="center"/>
          </w:tcPr>
          <w:p>
            <w:pPr>
              <w:spacing w:line="240" w:lineRule="auto"/>
              <w:ind w:firstLine="0" w:firstLineChars="0"/>
              <w:jc w:val="center"/>
              <w:rPr>
                <w:sz w:val="22"/>
                <w:szCs w:val="22"/>
              </w:rPr>
            </w:pPr>
            <w:r>
              <w:rPr>
                <w:rFonts w:eastAsia="等线"/>
                <w:sz w:val="22"/>
                <w:szCs w:val="22"/>
              </w:rPr>
              <w:t>66</w:t>
            </w:r>
          </w:p>
        </w:tc>
        <w:tc>
          <w:tcPr>
            <w:tcW w:w="368" w:type="pct"/>
            <w:noWrap/>
            <w:vAlign w:val="center"/>
          </w:tcPr>
          <w:p>
            <w:pPr>
              <w:spacing w:line="240" w:lineRule="auto"/>
              <w:ind w:firstLine="0" w:firstLineChars="0"/>
              <w:jc w:val="center"/>
              <w:rPr>
                <w:sz w:val="22"/>
                <w:szCs w:val="22"/>
              </w:rPr>
            </w:pPr>
            <w:r>
              <w:rPr>
                <w:rFonts w:eastAsia="等线"/>
                <w:sz w:val="22"/>
                <w:szCs w:val="22"/>
              </w:rPr>
              <w:t>34.4</w:t>
            </w:r>
          </w:p>
        </w:tc>
        <w:tc>
          <w:tcPr>
            <w:tcW w:w="368" w:type="pct"/>
            <w:noWrap/>
            <w:vAlign w:val="center"/>
          </w:tcPr>
          <w:p>
            <w:pPr>
              <w:spacing w:line="240" w:lineRule="auto"/>
              <w:ind w:firstLine="0" w:firstLineChars="0"/>
              <w:jc w:val="center"/>
              <w:rPr>
                <w:sz w:val="22"/>
                <w:szCs w:val="22"/>
              </w:rPr>
            </w:pPr>
            <w:r>
              <w:rPr>
                <w:rFonts w:eastAsia="等线"/>
                <w:sz w:val="22"/>
                <w:szCs w:val="22"/>
              </w:rPr>
              <w:t>148.85</w:t>
            </w:r>
          </w:p>
        </w:tc>
        <w:tc>
          <w:tcPr>
            <w:tcW w:w="368" w:type="pct"/>
            <w:noWrap/>
            <w:vAlign w:val="center"/>
          </w:tcPr>
          <w:p>
            <w:pPr>
              <w:spacing w:line="240" w:lineRule="auto"/>
              <w:ind w:firstLine="0" w:firstLineChars="0"/>
              <w:jc w:val="center"/>
              <w:rPr>
                <w:sz w:val="22"/>
                <w:szCs w:val="22"/>
              </w:rPr>
            </w:pPr>
            <w:r>
              <w:rPr>
                <w:rFonts w:eastAsia="等线"/>
                <w:sz w:val="22"/>
                <w:szCs w:val="22"/>
              </w:rPr>
              <w:t>208</w:t>
            </w:r>
          </w:p>
        </w:tc>
        <w:tc>
          <w:tcPr>
            <w:tcW w:w="368" w:type="pct"/>
            <w:noWrap/>
            <w:vAlign w:val="center"/>
          </w:tcPr>
          <w:p>
            <w:pPr>
              <w:spacing w:line="240" w:lineRule="auto"/>
              <w:ind w:firstLine="0" w:firstLineChars="0"/>
              <w:jc w:val="center"/>
              <w:rPr>
                <w:sz w:val="22"/>
                <w:szCs w:val="22"/>
              </w:rPr>
            </w:pPr>
            <w:r>
              <w:rPr>
                <w:rFonts w:eastAsia="等线"/>
                <w:sz w:val="22"/>
                <w:szCs w:val="22"/>
              </w:rPr>
              <w:t>237.65</w:t>
            </w:r>
          </w:p>
        </w:tc>
        <w:tc>
          <w:tcPr>
            <w:tcW w:w="368" w:type="pct"/>
            <w:noWrap/>
            <w:vAlign w:val="center"/>
          </w:tcPr>
          <w:p>
            <w:pPr>
              <w:spacing w:line="240" w:lineRule="auto"/>
              <w:ind w:firstLine="0" w:firstLineChars="0"/>
              <w:jc w:val="center"/>
              <w:rPr>
                <w:sz w:val="22"/>
                <w:szCs w:val="22"/>
              </w:rPr>
            </w:pPr>
            <w:r>
              <w:rPr>
                <w:rFonts w:eastAsia="等线"/>
                <w:sz w:val="22"/>
                <w:szCs w:val="22"/>
              </w:rPr>
              <w:t>326.65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39" w:type="pct"/>
            <w:noWrap/>
            <w:vAlign w:val="center"/>
          </w:tcPr>
          <w:p>
            <w:pPr>
              <w:spacing w:line="240" w:lineRule="auto"/>
              <w:ind w:firstLine="0" w:firstLineChars="0"/>
              <w:jc w:val="center"/>
              <w:rPr>
                <w:sz w:val="22"/>
                <w:szCs w:val="22"/>
              </w:rPr>
            </w:pPr>
            <w:r>
              <w:rPr>
                <w:rFonts w:hint="eastAsia" w:cs="仿宋"/>
                <w:sz w:val="22"/>
                <w:szCs w:val="22"/>
              </w:rPr>
              <w:t>承载力与养殖量差值</w:t>
            </w:r>
          </w:p>
        </w:tc>
        <w:tc>
          <w:tcPr>
            <w:tcW w:w="289" w:type="pct"/>
            <w:noWrap/>
            <w:vAlign w:val="center"/>
          </w:tcPr>
          <w:p>
            <w:pPr>
              <w:spacing w:line="240" w:lineRule="auto"/>
              <w:ind w:firstLine="0" w:firstLineChars="0"/>
              <w:jc w:val="center"/>
              <w:rPr>
                <w:sz w:val="22"/>
                <w:szCs w:val="22"/>
              </w:rPr>
            </w:pPr>
            <w:r>
              <w:rPr>
                <w:rFonts w:hint="eastAsia" w:cs="仿宋"/>
                <w:sz w:val="22"/>
                <w:szCs w:val="22"/>
              </w:rPr>
              <w:t>万头</w:t>
            </w:r>
          </w:p>
        </w:tc>
        <w:tc>
          <w:tcPr>
            <w:tcW w:w="406" w:type="pct"/>
            <w:noWrap/>
            <w:vAlign w:val="center"/>
          </w:tcPr>
          <w:p>
            <w:pPr>
              <w:spacing w:line="240" w:lineRule="auto"/>
              <w:ind w:firstLine="0" w:firstLineChars="0"/>
              <w:jc w:val="center"/>
              <w:rPr>
                <w:sz w:val="22"/>
                <w:szCs w:val="22"/>
              </w:rPr>
            </w:pPr>
            <w:r>
              <w:rPr>
                <w:rFonts w:eastAsia="等线"/>
                <w:sz w:val="22"/>
                <w:szCs w:val="22"/>
              </w:rPr>
              <w:t>619.23</w:t>
            </w:r>
          </w:p>
        </w:tc>
        <w:tc>
          <w:tcPr>
            <w:tcW w:w="447" w:type="pct"/>
            <w:noWrap/>
            <w:vAlign w:val="center"/>
          </w:tcPr>
          <w:p>
            <w:pPr>
              <w:spacing w:line="240" w:lineRule="auto"/>
              <w:ind w:firstLine="0" w:firstLineChars="0"/>
              <w:jc w:val="center"/>
              <w:rPr>
                <w:sz w:val="22"/>
                <w:szCs w:val="22"/>
              </w:rPr>
            </w:pPr>
            <w:r>
              <w:rPr>
                <w:rFonts w:eastAsia="等线"/>
                <w:sz w:val="22"/>
                <w:szCs w:val="22"/>
              </w:rPr>
              <w:t>46.53</w:t>
            </w:r>
          </w:p>
        </w:tc>
        <w:tc>
          <w:tcPr>
            <w:tcW w:w="368" w:type="pct"/>
            <w:noWrap/>
            <w:vAlign w:val="center"/>
          </w:tcPr>
          <w:p>
            <w:pPr>
              <w:spacing w:line="240" w:lineRule="auto"/>
              <w:ind w:firstLine="0" w:firstLineChars="0"/>
              <w:jc w:val="center"/>
              <w:rPr>
                <w:sz w:val="22"/>
                <w:szCs w:val="22"/>
              </w:rPr>
            </w:pPr>
            <w:r>
              <w:rPr>
                <w:rFonts w:eastAsia="等线"/>
                <w:sz w:val="22"/>
                <w:szCs w:val="22"/>
              </w:rPr>
              <w:t>48.43</w:t>
            </w:r>
          </w:p>
        </w:tc>
        <w:tc>
          <w:tcPr>
            <w:tcW w:w="368" w:type="pct"/>
            <w:noWrap/>
            <w:vAlign w:val="center"/>
          </w:tcPr>
          <w:p>
            <w:pPr>
              <w:spacing w:line="240" w:lineRule="auto"/>
              <w:ind w:firstLine="0" w:firstLineChars="0"/>
              <w:jc w:val="center"/>
              <w:rPr>
                <w:b/>
                <w:bCs/>
                <w:sz w:val="22"/>
                <w:szCs w:val="22"/>
              </w:rPr>
            </w:pPr>
            <w:r>
              <w:rPr>
                <w:rFonts w:eastAsia="等线"/>
                <w:b/>
                <w:bCs/>
                <w:sz w:val="22"/>
                <w:szCs w:val="22"/>
              </w:rPr>
              <w:t>-6.09</w:t>
            </w:r>
          </w:p>
        </w:tc>
        <w:tc>
          <w:tcPr>
            <w:tcW w:w="447" w:type="pct"/>
            <w:noWrap/>
            <w:vAlign w:val="center"/>
          </w:tcPr>
          <w:p>
            <w:pPr>
              <w:spacing w:line="240" w:lineRule="auto"/>
              <w:ind w:firstLine="0" w:firstLineChars="0"/>
              <w:jc w:val="center"/>
              <w:rPr>
                <w:sz w:val="22"/>
                <w:szCs w:val="22"/>
              </w:rPr>
            </w:pPr>
            <w:r>
              <w:rPr>
                <w:rFonts w:eastAsia="等线"/>
                <w:sz w:val="22"/>
                <w:szCs w:val="22"/>
              </w:rPr>
              <w:t>28.97</w:t>
            </w:r>
          </w:p>
        </w:tc>
        <w:tc>
          <w:tcPr>
            <w:tcW w:w="368" w:type="pct"/>
            <w:noWrap/>
            <w:vAlign w:val="center"/>
          </w:tcPr>
          <w:p>
            <w:pPr>
              <w:spacing w:line="240" w:lineRule="auto"/>
              <w:ind w:firstLine="0" w:firstLineChars="0"/>
              <w:jc w:val="center"/>
              <w:rPr>
                <w:sz w:val="22"/>
                <w:szCs w:val="22"/>
              </w:rPr>
            </w:pPr>
            <w:r>
              <w:rPr>
                <w:rFonts w:eastAsia="等线"/>
                <w:sz w:val="22"/>
                <w:szCs w:val="22"/>
              </w:rPr>
              <w:t>26.6</w:t>
            </w:r>
          </w:p>
        </w:tc>
        <w:tc>
          <w:tcPr>
            <w:tcW w:w="368" w:type="pct"/>
            <w:noWrap/>
            <w:vAlign w:val="center"/>
          </w:tcPr>
          <w:p>
            <w:pPr>
              <w:spacing w:line="240" w:lineRule="auto"/>
              <w:ind w:firstLine="0" w:firstLineChars="0"/>
              <w:jc w:val="center"/>
              <w:rPr>
                <w:b/>
                <w:bCs/>
                <w:sz w:val="22"/>
                <w:szCs w:val="22"/>
              </w:rPr>
            </w:pPr>
            <w:r>
              <w:rPr>
                <w:rFonts w:eastAsia="等线"/>
                <w:b/>
                <w:bCs/>
                <w:sz w:val="22"/>
                <w:szCs w:val="22"/>
              </w:rPr>
              <w:t>-3.03</w:t>
            </w:r>
          </w:p>
        </w:tc>
        <w:tc>
          <w:tcPr>
            <w:tcW w:w="368" w:type="pct"/>
            <w:noWrap/>
            <w:vAlign w:val="center"/>
          </w:tcPr>
          <w:p>
            <w:pPr>
              <w:spacing w:line="240" w:lineRule="auto"/>
              <w:ind w:firstLine="0" w:firstLineChars="0"/>
              <w:jc w:val="center"/>
              <w:rPr>
                <w:sz w:val="22"/>
                <w:szCs w:val="22"/>
              </w:rPr>
            </w:pPr>
            <w:r>
              <w:rPr>
                <w:rFonts w:eastAsia="等线"/>
                <w:sz w:val="22"/>
                <w:szCs w:val="22"/>
              </w:rPr>
              <w:t>119.08</w:t>
            </w:r>
          </w:p>
        </w:tc>
        <w:tc>
          <w:tcPr>
            <w:tcW w:w="368" w:type="pct"/>
            <w:noWrap/>
            <w:vAlign w:val="center"/>
          </w:tcPr>
          <w:p>
            <w:pPr>
              <w:spacing w:line="240" w:lineRule="auto"/>
              <w:ind w:firstLine="0" w:firstLineChars="0"/>
              <w:jc w:val="center"/>
              <w:rPr>
                <w:sz w:val="22"/>
                <w:szCs w:val="22"/>
              </w:rPr>
            </w:pPr>
            <w:r>
              <w:rPr>
                <w:rFonts w:eastAsia="等线"/>
                <w:sz w:val="22"/>
                <w:szCs w:val="22"/>
              </w:rPr>
              <w:t>127.06</w:t>
            </w:r>
          </w:p>
        </w:tc>
        <w:tc>
          <w:tcPr>
            <w:tcW w:w="368" w:type="pct"/>
            <w:noWrap/>
            <w:vAlign w:val="center"/>
          </w:tcPr>
          <w:p>
            <w:pPr>
              <w:spacing w:line="240" w:lineRule="auto"/>
              <w:ind w:firstLine="0" w:firstLineChars="0"/>
              <w:jc w:val="center"/>
              <w:rPr>
                <w:sz w:val="22"/>
                <w:szCs w:val="22"/>
              </w:rPr>
            </w:pPr>
            <w:r>
              <w:rPr>
                <w:rFonts w:eastAsia="等线"/>
                <w:sz w:val="22"/>
                <w:szCs w:val="22"/>
              </w:rPr>
              <w:t>231.69</w:t>
            </w:r>
          </w:p>
        </w:tc>
      </w:tr>
    </w:tbl>
    <w:p>
      <w:pPr>
        <w:ind w:firstLine="31680"/>
        <w:rPr>
          <w:sz w:val="21"/>
          <w:szCs w:val="21"/>
        </w:rPr>
      </w:pPr>
      <w:r>
        <w:rPr>
          <w:rFonts w:hint="eastAsia" w:cs="仿宋"/>
          <w:sz w:val="21"/>
          <w:szCs w:val="21"/>
        </w:rPr>
        <w:t>注</w:t>
      </w:r>
      <w:r>
        <w:rPr>
          <w:sz w:val="21"/>
          <w:szCs w:val="21"/>
          <w:vertAlign w:val="superscript"/>
        </w:rPr>
        <w:t>*</w:t>
      </w:r>
      <w:r>
        <w:rPr>
          <w:rFonts w:hint="eastAsia" w:cs="仿宋"/>
          <w:sz w:val="21"/>
          <w:szCs w:val="21"/>
        </w:rPr>
        <w:t>：以上畜禽数据来源于《沈阳市</w:t>
      </w:r>
      <w:r>
        <w:rPr>
          <w:sz w:val="21"/>
          <w:szCs w:val="21"/>
        </w:rPr>
        <w:t>2019</w:t>
      </w:r>
      <w:r>
        <w:rPr>
          <w:rFonts w:hint="eastAsia" w:cs="仿宋"/>
          <w:sz w:val="21"/>
          <w:szCs w:val="21"/>
        </w:rPr>
        <w:t>年统计年鉴》</w:t>
      </w:r>
    </w:p>
    <w:p>
      <w:pPr>
        <w:ind w:firstLine="31680"/>
      </w:pPr>
      <w:r>
        <w:rPr>
          <w:rFonts w:hint="eastAsia" w:cs="仿宋"/>
        </w:rPr>
        <w:t>（</w:t>
      </w:r>
      <w:r>
        <w:t>2</w:t>
      </w:r>
      <w:r>
        <w:rPr>
          <w:rFonts w:hint="eastAsia" w:cs="仿宋"/>
        </w:rPr>
        <w:t>）畜禽粪污资源化利用情况</w:t>
      </w:r>
    </w:p>
    <w:p>
      <w:pPr>
        <w:ind w:firstLine="31680"/>
      </w:pPr>
      <w:r>
        <w:t>“</w:t>
      </w:r>
      <w:r>
        <w:rPr>
          <w:rFonts w:hint="eastAsia" w:cs="仿宋"/>
        </w:rPr>
        <w:t>十三五</w:t>
      </w:r>
      <w:r>
        <w:t>”</w:t>
      </w:r>
      <w:r>
        <w:rPr>
          <w:rFonts w:hint="eastAsia" w:cs="仿宋"/>
        </w:rPr>
        <w:t>期间，通过实施标准化规模养殖场、畜禽标准化生态建设、畜禽有机肥生产补助、有机肥厂建设补助等项目，全市畜禽粪污资源化利用水平不断提高。新建标准化规模养殖场累计建成畜禽粪污收集贮存设施</w:t>
      </w:r>
      <w:r>
        <w:t>111.9</w:t>
      </w:r>
      <w:r>
        <w:rPr>
          <w:rFonts w:hint="eastAsia" w:cs="仿宋"/>
        </w:rPr>
        <w:t>万立方米；完成</w:t>
      </w:r>
      <w:r>
        <w:t>80</w:t>
      </w:r>
      <w:r>
        <w:rPr>
          <w:rFonts w:hint="eastAsia" w:cs="仿宋"/>
        </w:rPr>
        <w:t>家规模养殖场资源化利用设施配套，累计建成畜禽粪污收集贮存设施</w:t>
      </w:r>
      <w:r>
        <w:t>17.95</w:t>
      </w:r>
      <w:r>
        <w:rPr>
          <w:rFonts w:hint="eastAsia" w:cs="仿宋"/>
        </w:rPr>
        <w:t>万立方米；累计补助有机肥</w:t>
      </w:r>
      <w:r>
        <w:t>21</w:t>
      </w:r>
      <w:r>
        <w:rPr>
          <w:rFonts w:hint="eastAsia" w:cs="仿宋"/>
        </w:rPr>
        <w:t>万吨，财政补助资金</w:t>
      </w:r>
      <w:r>
        <w:t>752.4</w:t>
      </w:r>
      <w:r>
        <w:rPr>
          <w:rFonts w:hint="eastAsia" w:cs="仿宋"/>
        </w:rPr>
        <w:t>万元；有机肥厂</w:t>
      </w:r>
      <w:r>
        <w:t>21</w:t>
      </w:r>
      <w:r>
        <w:rPr>
          <w:rFonts w:hint="eastAsia" w:cs="仿宋"/>
        </w:rPr>
        <w:t>家，年产有机肥</w:t>
      </w:r>
      <w:r>
        <w:t>38.8</w:t>
      </w:r>
      <w:r>
        <w:rPr>
          <w:rFonts w:hint="eastAsia" w:cs="仿宋"/>
        </w:rPr>
        <w:t>万吨，处理畜禽粪便</w:t>
      </w:r>
      <w:r>
        <w:t>100</w:t>
      </w:r>
      <w:r>
        <w:rPr>
          <w:rFonts w:hint="eastAsia" w:cs="仿宋"/>
        </w:rPr>
        <w:t>万吨以上。截至</w:t>
      </w:r>
      <w:r>
        <w:t>2020</w:t>
      </w:r>
      <w:r>
        <w:rPr>
          <w:rFonts w:hint="eastAsia" w:cs="仿宋"/>
        </w:rPr>
        <w:t>年末，全市畜禽养殖废弃物处理和资源化利用率达到</w:t>
      </w:r>
      <w:r>
        <w:t>75%</w:t>
      </w:r>
      <w:r>
        <w:rPr>
          <w:rFonts w:hint="eastAsia" w:cs="仿宋"/>
        </w:rPr>
        <w:t>以上。</w:t>
      </w:r>
    </w:p>
    <w:p>
      <w:pPr>
        <w:pStyle w:val="4"/>
      </w:pPr>
      <w:r>
        <w:t>2.4.4</w:t>
      </w:r>
      <w:r>
        <w:rPr>
          <w:rFonts w:hint="eastAsia" w:cs="仿宋"/>
        </w:rPr>
        <w:t>存在问题</w:t>
      </w:r>
    </w:p>
    <w:p>
      <w:pPr>
        <w:ind w:firstLine="31680"/>
      </w:pPr>
      <w:r>
        <w:rPr>
          <w:rFonts w:hint="eastAsia" w:cs="仿宋"/>
        </w:rPr>
        <w:t>（</w:t>
      </w:r>
      <w:r>
        <w:t>1</w:t>
      </w:r>
      <w:r>
        <w:rPr>
          <w:rFonts w:hint="eastAsia" w:cs="仿宋"/>
        </w:rPr>
        <w:t>）部分畜种规模化养殖程度较低</w:t>
      </w:r>
    </w:p>
    <w:p>
      <w:pPr>
        <w:ind w:firstLine="31680"/>
      </w:pPr>
      <w:r>
        <w:rPr>
          <w:rFonts w:hint="eastAsia" w:cs="仿宋"/>
        </w:rPr>
        <w:t>目前，沈阳市生猪规模化率</w:t>
      </w:r>
      <w:r>
        <w:t>60%</w:t>
      </w:r>
      <w:r>
        <w:rPr>
          <w:rFonts w:hint="eastAsia" w:cs="仿宋"/>
        </w:rPr>
        <w:t>、蛋鸡规模化率</w:t>
      </w:r>
      <w:r>
        <w:t>70%</w:t>
      </w:r>
      <w:r>
        <w:rPr>
          <w:rFonts w:hint="eastAsia" w:cs="仿宋"/>
        </w:rPr>
        <w:t>、奶牛</w:t>
      </w:r>
      <w:r>
        <w:t>99%</w:t>
      </w:r>
      <w:r>
        <w:rPr>
          <w:rFonts w:hint="eastAsia" w:cs="仿宋"/>
        </w:rPr>
        <w:t>、肉鸡</w:t>
      </w:r>
      <w:r>
        <w:t>93%</w:t>
      </w:r>
      <w:r>
        <w:rPr>
          <w:rFonts w:hint="eastAsia" w:cs="仿宋"/>
        </w:rPr>
        <w:t>，生猪和蛋鸡畜禽规模化比重仍较低。</w:t>
      </w:r>
      <w:bookmarkStart w:id="22" w:name="_Hlk78289457"/>
      <w:r>
        <w:rPr>
          <w:rFonts w:hint="eastAsia" w:cs="仿宋"/>
        </w:rPr>
        <w:t>小规模及分散养殖</w:t>
      </w:r>
      <w:bookmarkEnd w:id="22"/>
      <w:r>
        <w:rPr>
          <w:rFonts w:hint="eastAsia" w:cs="仿宋"/>
        </w:rPr>
        <w:t>仍占有相当大的比例。小规模及分散养殖分布于农村居住区周边，养殖产生的污染对农村居住环境产生污染影响较大，既不利于区域畜牧业规模化、标准化发展，又增加污染防治、防疫等方面监管难度。</w:t>
      </w:r>
    </w:p>
    <w:p>
      <w:pPr>
        <w:ind w:firstLine="31680"/>
      </w:pPr>
      <w:r>
        <w:rPr>
          <w:rFonts w:hint="eastAsia" w:cs="仿宋"/>
        </w:rPr>
        <w:t>（</w:t>
      </w:r>
      <w:r>
        <w:t>2</w:t>
      </w:r>
      <w:r>
        <w:rPr>
          <w:rFonts w:hint="eastAsia" w:cs="仿宋"/>
        </w:rPr>
        <w:t>）污染治理工艺设施尚需完善</w:t>
      </w:r>
    </w:p>
    <w:p>
      <w:pPr>
        <w:ind w:firstLine="31680"/>
      </w:pPr>
      <w:r>
        <w:rPr>
          <w:rFonts w:hint="eastAsia" w:cs="仿宋"/>
        </w:rPr>
        <w:t>在粪污处理方面，</w:t>
      </w:r>
      <w:bookmarkStart w:id="23" w:name="_Hlk89873956"/>
      <w:r>
        <w:rPr>
          <w:rFonts w:hint="eastAsia" w:cs="仿宋"/>
        </w:rPr>
        <w:t>现有规模化畜禽养殖场大都采取干清粪工艺，并设有粪尿储存场所，但由于小规模养殖个体及企业较多，仍存在部分畜禽养殖户没有粪污处理设施，或有设施但不具备防渗和防雨淋功能，且未进行土地综合利用消纳。导致局部区域地下水及土壤出现污染问题。部分沼气发酵设施冬季未采取有效保温升温措施，导致沼气发酵效率较低，无法满足综合利用相关标准要求。同时在恶臭气体处理方面，部分养殖企业粪污、恶臭处理措施落实不完善，造成气味扰民的问题时有发生。因此，养殖区域粪污综合利用水平及恶臭污染防治水平有待提高。</w:t>
      </w:r>
    </w:p>
    <w:bookmarkEnd w:id="23"/>
    <w:p>
      <w:pPr>
        <w:ind w:firstLine="31680"/>
      </w:pPr>
      <w:r>
        <w:rPr>
          <w:rFonts w:hint="eastAsia" w:cs="仿宋"/>
        </w:rPr>
        <w:t>（</w:t>
      </w:r>
      <w:r>
        <w:t>3</w:t>
      </w:r>
      <w:r>
        <w:rPr>
          <w:rFonts w:hint="eastAsia" w:cs="仿宋"/>
        </w:rPr>
        <w:t>）种养结合存在困难，粪便还田通道不畅</w:t>
      </w:r>
    </w:p>
    <w:p>
      <w:pPr>
        <w:ind w:firstLine="31680"/>
      </w:pPr>
      <w:r>
        <w:rPr>
          <w:rFonts w:hint="eastAsia" w:cs="仿宋"/>
        </w:rPr>
        <w:t>由于种植业和养殖业各自向着规模化和专业化发展，多数养殖企业与种植单位虽签订协议，但尚未形成有效、成熟</w:t>
      </w:r>
      <w:r>
        <w:rPr>
          <w:rFonts w:hint="eastAsia" w:cs="仿宋"/>
          <w:lang w:eastAsia="zh-CN"/>
        </w:rPr>
        <w:t>的</w:t>
      </w:r>
      <w:r>
        <w:rPr>
          <w:rFonts w:hint="eastAsia" w:cs="仿宋"/>
        </w:rPr>
        <w:t>市场化运营，且缺乏社会服务机构，粪肥合理利用及调配面临困难。</w:t>
      </w:r>
    </w:p>
    <w:p>
      <w:pPr>
        <w:ind w:firstLine="31680"/>
      </w:pPr>
      <w:r>
        <w:rPr>
          <w:rFonts w:hint="eastAsia" w:cs="仿宋"/>
        </w:rPr>
        <w:t>（</w:t>
      </w:r>
      <w:r>
        <w:t>4</w:t>
      </w:r>
      <w:r>
        <w:rPr>
          <w:rFonts w:hint="eastAsia" w:cs="仿宋"/>
        </w:rPr>
        <w:t>）非规模化养殖环境监管理难，执法依据不足</w:t>
      </w:r>
    </w:p>
    <w:p>
      <w:pPr>
        <w:ind w:firstLine="31680"/>
      </w:pPr>
      <w:r>
        <w:rPr>
          <w:rFonts w:hint="eastAsia" w:cs="仿宋"/>
        </w:rPr>
        <w:t>目前，沈阳市部分畜禽养殖户无粪污处理设施或处理设施不符合标准，现有政策对非规模养殖在污染防治上给予的补贴很少，畜禽养殖户积极性不高。随意丢弃的畜禽粪污是造成沈阳市农村黑臭水体的重要原因之一。现有法规针对非规模养殖环境执法依据不足，执法存在一定困难。</w:t>
      </w:r>
    </w:p>
    <w:p>
      <w:pPr>
        <w:pStyle w:val="2"/>
      </w:pPr>
      <w:bookmarkStart w:id="24" w:name="_Toc90558532"/>
      <w:r>
        <w:t>3</w:t>
      </w:r>
      <w:r>
        <w:rPr>
          <w:rFonts w:hint="eastAsia" w:cs="仿宋"/>
        </w:rPr>
        <w:t>、指标目标</w:t>
      </w:r>
      <w:bookmarkEnd w:id="24"/>
    </w:p>
    <w:p>
      <w:pPr>
        <w:pStyle w:val="3"/>
      </w:pPr>
      <w:bookmarkStart w:id="25" w:name="_Toc90558533"/>
      <w:r>
        <w:t>3.1</w:t>
      </w:r>
      <w:r>
        <w:rPr>
          <w:rFonts w:hint="eastAsia" w:cs="仿宋"/>
        </w:rPr>
        <w:t>规划目标</w:t>
      </w:r>
      <w:bookmarkEnd w:id="25"/>
    </w:p>
    <w:p>
      <w:pPr>
        <w:ind w:firstLine="31680"/>
      </w:pPr>
      <w:r>
        <w:t>(1)</w:t>
      </w:r>
      <w:r>
        <w:rPr>
          <w:rFonts w:hint="eastAsia" w:cs="仿宋"/>
        </w:rPr>
        <w:t>总体目标</w:t>
      </w:r>
    </w:p>
    <w:p>
      <w:pPr>
        <w:ind w:firstLine="31680"/>
      </w:pPr>
      <w:r>
        <w:rPr>
          <w:rFonts w:hint="eastAsia" w:cs="仿宋"/>
        </w:rPr>
        <w:t>到</w:t>
      </w:r>
      <w:r>
        <w:t>2025</w:t>
      </w:r>
      <w:r>
        <w:rPr>
          <w:rFonts w:hint="eastAsia" w:cs="仿宋"/>
        </w:rPr>
        <w:t>年，建立科学规范、权责清晰、约束有力的畜禽养殖废弃物资源化利用体系，构建种养结合循环发展机制。</w:t>
      </w:r>
      <w:bookmarkStart w:id="26" w:name="_Hlk89866061"/>
      <w:r>
        <w:rPr>
          <w:rFonts w:hint="eastAsia" w:cs="仿宋"/>
        </w:rPr>
        <w:t>畜禽粪污综合利用率达到</w:t>
      </w:r>
      <w:r>
        <w:t>80%</w:t>
      </w:r>
      <w:r>
        <w:rPr>
          <w:rFonts w:hint="eastAsia" w:cs="仿宋"/>
        </w:rPr>
        <w:t>以上，</w:t>
      </w:r>
      <w:bookmarkStart w:id="27" w:name="_Hlk89868582"/>
      <w:r>
        <w:rPr>
          <w:rFonts w:hint="eastAsia" w:cs="仿宋"/>
        </w:rPr>
        <w:t>达标排放的畜禽规模养殖场自行监测覆盖率</w:t>
      </w:r>
      <w:bookmarkEnd w:id="27"/>
      <w:r>
        <w:rPr>
          <w:rFonts w:hint="eastAsia" w:cs="仿宋"/>
        </w:rPr>
        <w:t>达到</w:t>
      </w:r>
      <w:r>
        <w:t>100%</w:t>
      </w:r>
      <w:r>
        <w:rPr>
          <w:rFonts w:hint="eastAsia" w:cs="仿宋"/>
        </w:rPr>
        <w:t>，畜禽规模养殖场粪污处理设施装备配套率按照国家和省相关要求执行，畜禽规模养殖场资源化利用台账建设率按照国家和省相关要求执行</w:t>
      </w:r>
      <w:bookmarkStart w:id="28" w:name="_Hlk83716411"/>
      <w:r>
        <w:rPr>
          <w:rFonts w:hint="eastAsia" w:cs="仿宋"/>
        </w:rPr>
        <w:t>。</w:t>
      </w:r>
      <w:bookmarkEnd w:id="26"/>
      <w:bookmarkEnd w:id="28"/>
      <w:bookmarkStart w:id="29" w:name="_Hlk75443278"/>
    </w:p>
    <w:bookmarkEnd w:id="29"/>
    <w:p>
      <w:pPr>
        <w:pStyle w:val="3"/>
      </w:pPr>
      <w:bookmarkStart w:id="30" w:name="_Toc90558534"/>
      <w:r>
        <w:t>3.2</w:t>
      </w:r>
      <w:r>
        <w:rPr>
          <w:rFonts w:hint="eastAsia" w:cs="仿宋"/>
        </w:rPr>
        <w:t>畜禽粪污环境承载力测算</w:t>
      </w:r>
      <w:bookmarkEnd w:id="30"/>
    </w:p>
    <w:p>
      <w:pPr>
        <w:pStyle w:val="4"/>
      </w:pPr>
      <w:r>
        <w:t>3.2.1</w:t>
      </w:r>
      <w:bookmarkStart w:id="31" w:name="_Hlk88121575"/>
      <w:r>
        <w:rPr>
          <w:rFonts w:hint="eastAsia" w:cs="仿宋"/>
        </w:rPr>
        <w:t>畜禽粪污土地承载力</w:t>
      </w:r>
      <w:bookmarkEnd w:id="31"/>
      <w:r>
        <w:rPr>
          <w:rFonts w:hint="eastAsia" w:cs="仿宋"/>
        </w:rPr>
        <w:t>测算</w:t>
      </w:r>
    </w:p>
    <w:p>
      <w:pPr>
        <w:ind w:firstLine="31680"/>
      </w:pPr>
      <w:r>
        <w:rPr>
          <w:rFonts w:hint="eastAsia" w:cs="仿宋"/>
        </w:rPr>
        <w:t>按照《沈阳市土地利用总体规划（</w:t>
      </w:r>
      <w:r>
        <w:t>2006-2020</w:t>
      </w:r>
      <w:r>
        <w:rPr>
          <w:rFonts w:hint="eastAsia" w:cs="仿宋"/>
        </w:rPr>
        <w:t>年）调整方案》及相应各区土地利用规划调整方案，至</w:t>
      </w:r>
      <w:r>
        <w:t>2020</w:t>
      </w:r>
      <w:r>
        <w:rPr>
          <w:rFonts w:hint="eastAsia" w:cs="仿宋"/>
        </w:rPr>
        <w:t>年，涉农区县耕地保有量为</w:t>
      </w:r>
      <w:r>
        <w:t>716000</w:t>
      </w:r>
      <w:r>
        <w:rPr>
          <w:rFonts w:hint="eastAsia" w:cs="仿宋"/>
        </w:rPr>
        <w:t>公顷，园地规划面积为</w:t>
      </w:r>
      <w:r>
        <w:t>12471</w:t>
      </w:r>
      <w:r>
        <w:rPr>
          <w:rFonts w:hint="eastAsia" w:cs="仿宋"/>
        </w:rPr>
        <w:t>公顷，林地规划面积为</w:t>
      </w:r>
      <w:bookmarkStart w:id="32" w:name="_Hlk89873360"/>
      <w:r>
        <w:t>220746</w:t>
      </w:r>
      <w:bookmarkEnd w:id="32"/>
      <w:r>
        <w:rPr>
          <w:rFonts w:hint="eastAsia" w:cs="仿宋"/>
        </w:rPr>
        <w:t>公顷，故本次评价通过各区三种用地规划面积核算各区最大可承载养殖规模。</w:t>
      </w:r>
    </w:p>
    <w:p>
      <w:pPr>
        <w:ind w:firstLine="31680"/>
      </w:pPr>
      <w:r>
        <w:rPr>
          <w:rFonts w:hint="eastAsia" w:cs="仿宋"/>
        </w:rPr>
        <w:t>根据《畜禽粪污土地承载力测算技术指南》提供相关参数，在</w:t>
      </w:r>
      <w:r>
        <w:t>“</w:t>
      </w:r>
      <w:r>
        <w:rPr>
          <w:rFonts w:hint="eastAsia" w:cs="仿宋"/>
        </w:rPr>
        <w:t>固体粪便堆肥外供</w:t>
      </w:r>
      <w:r>
        <w:t>+</w:t>
      </w:r>
      <w:r>
        <w:rPr>
          <w:rFonts w:hint="eastAsia" w:cs="仿宋"/>
        </w:rPr>
        <w:t>肥水就地利用</w:t>
      </w:r>
      <w:r>
        <w:t>”</w:t>
      </w:r>
      <w:r>
        <w:rPr>
          <w:rFonts w:hint="eastAsia" w:cs="仿宋"/>
        </w:rPr>
        <w:t>条件下，耕地系数选取以磷为基础的玉米种植承载量，即</w:t>
      </w:r>
      <w:r>
        <w:t>1.9</w:t>
      </w:r>
      <w:r>
        <w:rPr>
          <w:rFonts w:hint="eastAsia" w:cs="仿宋"/>
        </w:rPr>
        <w:t>猪当量</w:t>
      </w:r>
      <w:r>
        <w:t>/</w:t>
      </w:r>
      <w:r>
        <w:rPr>
          <w:rFonts w:hint="eastAsia" w:cs="仿宋"/>
        </w:rPr>
        <w:t>亩；园地选取以氮为基础苹果种植承载量，即</w:t>
      </w:r>
      <w:r>
        <w:t>1.5</w:t>
      </w:r>
      <w:r>
        <w:rPr>
          <w:rFonts w:hint="eastAsia" w:cs="仿宋"/>
        </w:rPr>
        <w:t>猪当量</w:t>
      </w:r>
      <w:r>
        <w:t>/</w:t>
      </w:r>
      <w:r>
        <w:rPr>
          <w:rFonts w:hint="eastAsia" w:cs="仿宋"/>
        </w:rPr>
        <w:t>亩；林地选取以氮为基础杨树种植承载量，即</w:t>
      </w:r>
      <w:r>
        <w:t>0.708</w:t>
      </w:r>
      <w:r>
        <w:rPr>
          <w:rFonts w:hint="eastAsia" w:cs="仿宋"/>
        </w:rPr>
        <w:t>猪当量</w:t>
      </w:r>
      <w:r>
        <w:t>/</w:t>
      </w:r>
      <w:r>
        <w:rPr>
          <w:rFonts w:hint="eastAsia" w:cs="仿宋"/>
        </w:rPr>
        <w:t>亩。</w:t>
      </w:r>
    </w:p>
    <w:p>
      <w:pPr>
        <w:ind w:firstLine="31680"/>
      </w:pPr>
      <w:r>
        <w:rPr>
          <w:rFonts w:hint="eastAsia" w:cs="仿宋"/>
        </w:rPr>
        <w:t>基于上述分析核算沈阳市农用地可承载猪当量。根据《畜禽粪污土地承载能力测算技术指南》相关参数分析核算，全市总可承载猪当量为</w:t>
      </w:r>
      <w:r>
        <w:t>2303.2</w:t>
      </w:r>
      <w:r>
        <w:rPr>
          <w:rFonts w:hint="eastAsia" w:cs="仿宋"/>
        </w:rPr>
        <w:t>万头，综合考虑禁养区及耕地资源空间分布差异，理论承载量按照总可承载猪当量的</w:t>
      </w:r>
      <w:r>
        <w:t>50%</w:t>
      </w:r>
      <w:r>
        <w:rPr>
          <w:rFonts w:hint="eastAsia" w:cs="仿宋"/>
        </w:rPr>
        <w:t>计算为</w:t>
      </w:r>
      <w:bookmarkStart w:id="33" w:name="_Hlk80102640"/>
      <w:r>
        <w:t>1151.6</w:t>
      </w:r>
      <w:bookmarkEnd w:id="33"/>
      <w:r>
        <w:rPr>
          <w:rFonts w:hint="eastAsia" w:cs="仿宋"/>
        </w:rPr>
        <w:t>万头猪当量。</w:t>
      </w:r>
    </w:p>
    <w:p>
      <w:pPr>
        <w:pStyle w:val="5"/>
        <w:spacing w:before="190"/>
      </w:pPr>
      <w:r>
        <w:rPr>
          <w:rFonts w:hint="eastAsia" w:cs="仿宋"/>
        </w:rPr>
        <w:t>表</w:t>
      </w:r>
      <w:r>
        <w:t xml:space="preserve">3-1 </w:t>
      </w:r>
      <w:r>
        <w:rPr>
          <w:rFonts w:hint="eastAsia" w:cs="仿宋"/>
        </w:rPr>
        <w:t>基于土地利用规划核算可承载猪当量</w:t>
      </w:r>
      <w:r>
        <w:t>/</w:t>
      </w:r>
      <w:r>
        <w:rPr>
          <w:rFonts w:hint="eastAsia" w:cs="仿宋"/>
        </w:rPr>
        <w:t>万头</w:t>
      </w:r>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4876"/>
        <w:gridCol w:w="2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02" w:type="dxa"/>
            <w:gridSpan w:val="2"/>
            <w:noWrap/>
            <w:vAlign w:val="center"/>
          </w:tcPr>
          <w:p>
            <w:pPr>
              <w:spacing w:line="240" w:lineRule="auto"/>
              <w:ind w:firstLine="0" w:firstLineChars="0"/>
              <w:jc w:val="center"/>
              <w:rPr>
                <w:b/>
                <w:bCs/>
                <w:sz w:val="24"/>
                <w:szCs w:val="24"/>
              </w:rPr>
            </w:pPr>
            <w:r>
              <w:rPr>
                <w:rFonts w:hint="eastAsia" w:cs="仿宋"/>
                <w:b/>
                <w:bCs/>
                <w:sz w:val="24"/>
                <w:szCs w:val="24"/>
              </w:rPr>
              <w:t>类别</w:t>
            </w:r>
          </w:p>
        </w:tc>
        <w:tc>
          <w:tcPr>
            <w:tcW w:w="2120" w:type="dxa"/>
            <w:noWrap/>
            <w:vAlign w:val="center"/>
          </w:tcPr>
          <w:p>
            <w:pPr>
              <w:spacing w:line="240" w:lineRule="auto"/>
              <w:ind w:firstLine="0" w:firstLineChars="0"/>
              <w:jc w:val="center"/>
              <w:rPr>
                <w:b/>
                <w:bCs/>
                <w:sz w:val="24"/>
                <w:szCs w:val="24"/>
              </w:rPr>
            </w:pPr>
            <w:r>
              <w:rPr>
                <w:rFonts w:hint="eastAsia" w:cs="仿宋"/>
                <w:b/>
                <w:bCs/>
                <w:sz w:val="24"/>
                <w:szCs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02" w:type="dxa"/>
            <w:gridSpan w:val="2"/>
            <w:vAlign w:val="center"/>
          </w:tcPr>
          <w:p>
            <w:pPr>
              <w:spacing w:line="240" w:lineRule="auto"/>
              <w:ind w:firstLine="0" w:firstLineChars="0"/>
              <w:jc w:val="center"/>
              <w:rPr>
                <w:sz w:val="24"/>
                <w:szCs w:val="24"/>
              </w:rPr>
            </w:pPr>
            <w:r>
              <w:rPr>
                <w:rFonts w:hint="eastAsia" w:cs="仿宋"/>
                <w:sz w:val="24"/>
                <w:szCs w:val="24"/>
              </w:rPr>
              <w:t>农用地总面积</w:t>
            </w:r>
            <w:r>
              <w:rPr>
                <w:sz w:val="24"/>
                <w:szCs w:val="24"/>
              </w:rPr>
              <w:t>/</w:t>
            </w:r>
            <w:r>
              <w:rPr>
                <w:rFonts w:hint="eastAsia" w:cs="仿宋"/>
                <w:sz w:val="24"/>
                <w:szCs w:val="24"/>
              </w:rPr>
              <w:t>公顷</w:t>
            </w:r>
          </w:p>
        </w:tc>
        <w:tc>
          <w:tcPr>
            <w:tcW w:w="2120" w:type="dxa"/>
            <w:vAlign w:val="center"/>
          </w:tcPr>
          <w:p>
            <w:pPr>
              <w:spacing w:line="240" w:lineRule="auto"/>
              <w:ind w:firstLine="0" w:firstLineChars="0"/>
              <w:jc w:val="center"/>
              <w:rPr>
                <w:sz w:val="24"/>
                <w:szCs w:val="24"/>
              </w:rPr>
            </w:pPr>
            <w:r>
              <w:rPr>
                <w:sz w:val="24"/>
                <w:szCs w:val="24"/>
              </w:rPr>
              <w:t>983075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restart"/>
            <w:noWrap/>
            <w:vAlign w:val="center"/>
          </w:tcPr>
          <w:p>
            <w:pPr>
              <w:spacing w:line="240" w:lineRule="auto"/>
              <w:ind w:firstLine="0" w:firstLineChars="0"/>
              <w:jc w:val="center"/>
              <w:rPr>
                <w:sz w:val="24"/>
                <w:szCs w:val="24"/>
              </w:rPr>
            </w:pPr>
            <w:r>
              <w:rPr>
                <w:rFonts w:hint="eastAsia" w:cs="仿宋"/>
                <w:sz w:val="24"/>
                <w:szCs w:val="24"/>
              </w:rPr>
              <w:t>耕地</w:t>
            </w:r>
          </w:p>
        </w:tc>
        <w:tc>
          <w:tcPr>
            <w:tcW w:w="4876" w:type="dxa"/>
            <w:noWrap/>
            <w:vAlign w:val="center"/>
          </w:tcPr>
          <w:p>
            <w:pPr>
              <w:spacing w:line="240" w:lineRule="auto"/>
              <w:ind w:firstLine="0" w:firstLineChars="0"/>
              <w:jc w:val="center"/>
              <w:rPr>
                <w:sz w:val="24"/>
                <w:szCs w:val="24"/>
              </w:rPr>
            </w:pPr>
            <w:r>
              <w:rPr>
                <w:rFonts w:hint="eastAsia" w:cs="仿宋"/>
                <w:sz w:val="24"/>
                <w:szCs w:val="24"/>
              </w:rPr>
              <w:t>涉农区县规划面积</w:t>
            </w:r>
            <w:r>
              <w:rPr>
                <w:sz w:val="24"/>
                <w:szCs w:val="24"/>
              </w:rPr>
              <w:t>/</w:t>
            </w:r>
            <w:r>
              <w:rPr>
                <w:rFonts w:hint="eastAsia" w:cs="仿宋"/>
                <w:sz w:val="24"/>
                <w:szCs w:val="24"/>
              </w:rPr>
              <w:t>公顷</w:t>
            </w:r>
          </w:p>
        </w:tc>
        <w:tc>
          <w:tcPr>
            <w:tcW w:w="2120" w:type="dxa"/>
            <w:noWrap/>
            <w:vAlign w:val="center"/>
          </w:tcPr>
          <w:p>
            <w:pPr>
              <w:spacing w:line="240" w:lineRule="auto"/>
              <w:ind w:firstLine="0" w:firstLineChars="0"/>
              <w:jc w:val="center"/>
              <w:rPr>
                <w:sz w:val="24"/>
                <w:szCs w:val="24"/>
              </w:rPr>
            </w:pPr>
            <w:r>
              <w:rPr>
                <w:sz w:val="24"/>
                <w:szCs w:val="24"/>
              </w:rPr>
              <w:t>716000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continue"/>
            <w:vAlign w:val="center"/>
          </w:tcPr>
          <w:p>
            <w:pPr>
              <w:spacing w:line="240" w:lineRule="auto"/>
              <w:ind w:firstLine="0" w:firstLineChars="0"/>
              <w:jc w:val="left"/>
              <w:rPr>
                <w:sz w:val="24"/>
                <w:szCs w:val="24"/>
              </w:rPr>
            </w:pPr>
          </w:p>
        </w:tc>
        <w:tc>
          <w:tcPr>
            <w:tcW w:w="4876" w:type="dxa"/>
            <w:vAlign w:val="center"/>
          </w:tcPr>
          <w:p>
            <w:pPr>
              <w:spacing w:line="240" w:lineRule="auto"/>
              <w:ind w:firstLine="0" w:firstLineChars="0"/>
              <w:jc w:val="center"/>
              <w:rPr>
                <w:sz w:val="24"/>
                <w:szCs w:val="24"/>
              </w:rPr>
            </w:pPr>
            <w:r>
              <w:rPr>
                <w:rFonts w:hint="eastAsia" w:cs="仿宋"/>
                <w:sz w:val="24"/>
                <w:szCs w:val="24"/>
              </w:rPr>
              <w:t>可承载猪当量</w:t>
            </w:r>
            <w:r>
              <w:rPr>
                <w:sz w:val="24"/>
                <w:szCs w:val="24"/>
              </w:rPr>
              <w:t>/</w:t>
            </w:r>
            <w:r>
              <w:rPr>
                <w:rFonts w:hint="eastAsia" w:cs="仿宋"/>
                <w:sz w:val="24"/>
                <w:szCs w:val="24"/>
              </w:rPr>
              <w:t>万头</w:t>
            </w:r>
          </w:p>
        </w:tc>
        <w:tc>
          <w:tcPr>
            <w:tcW w:w="2120" w:type="dxa"/>
            <w:vAlign w:val="center"/>
          </w:tcPr>
          <w:p>
            <w:pPr>
              <w:spacing w:line="240" w:lineRule="auto"/>
              <w:ind w:firstLine="0" w:firstLineChars="0"/>
              <w:jc w:val="center"/>
              <w:rPr>
                <w:sz w:val="24"/>
                <w:szCs w:val="24"/>
              </w:rPr>
            </w:pPr>
            <w:r>
              <w:rPr>
                <w:sz w:val="24"/>
                <w:szCs w:val="24"/>
              </w:rPr>
              <w:t>2040.6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restart"/>
            <w:vAlign w:val="center"/>
          </w:tcPr>
          <w:p>
            <w:pPr>
              <w:spacing w:line="240" w:lineRule="auto"/>
              <w:ind w:firstLine="0" w:firstLineChars="0"/>
              <w:jc w:val="center"/>
              <w:rPr>
                <w:sz w:val="24"/>
                <w:szCs w:val="24"/>
              </w:rPr>
            </w:pPr>
            <w:r>
              <w:rPr>
                <w:rFonts w:hint="eastAsia" w:cs="仿宋"/>
                <w:sz w:val="24"/>
                <w:szCs w:val="24"/>
              </w:rPr>
              <w:t>园地</w:t>
            </w:r>
          </w:p>
        </w:tc>
        <w:tc>
          <w:tcPr>
            <w:tcW w:w="4876" w:type="dxa"/>
            <w:vAlign w:val="center"/>
          </w:tcPr>
          <w:p>
            <w:pPr>
              <w:spacing w:line="240" w:lineRule="auto"/>
              <w:ind w:firstLine="0" w:firstLineChars="0"/>
              <w:jc w:val="center"/>
              <w:rPr>
                <w:sz w:val="24"/>
                <w:szCs w:val="24"/>
              </w:rPr>
            </w:pPr>
            <w:r>
              <w:rPr>
                <w:rFonts w:hint="eastAsia" w:cs="仿宋"/>
                <w:sz w:val="24"/>
                <w:szCs w:val="24"/>
              </w:rPr>
              <w:t>涉农区县规划面积</w:t>
            </w:r>
            <w:r>
              <w:rPr>
                <w:sz w:val="24"/>
                <w:szCs w:val="24"/>
              </w:rPr>
              <w:t>/</w:t>
            </w:r>
            <w:r>
              <w:rPr>
                <w:rFonts w:hint="eastAsia" w:cs="仿宋"/>
                <w:sz w:val="24"/>
                <w:szCs w:val="24"/>
              </w:rPr>
              <w:t>公顷</w:t>
            </w:r>
          </w:p>
        </w:tc>
        <w:tc>
          <w:tcPr>
            <w:tcW w:w="2120" w:type="dxa"/>
            <w:vAlign w:val="center"/>
          </w:tcPr>
          <w:p>
            <w:pPr>
              <w:spacing w:line="240" w:lineRule="auto"/>
              <w:ind w:firstLine="0" w:firstLineChars="0"/>
              <w:jc w:val="center"/>
              <w:rPr>
                <w:sz w:val="24"/>
                <w:szCs w:val="24"/>
              </w:rPr>
            </w:pPr>
            <w:r>
              <w:rPr>
                <w:sz w:val="24"/>
                <w:szCs w:val="24"/>
              </w:rPr>
              <w:t>12471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continue"/>
            <w:vAlign w:val="center"/>
          </w:tcPr>
          <w:p>
            <w:pPr>
              <w:spacing w:line="240" w:lineRule="auto"/>
              <w:ind w:firstLine="0" w:firstLineChars="0"/>
              <w:jc w:val="left"/>
              <w:rPr>
                <w:sz w:val="24"/>
                <w:szCs w:val="24"/>
              </w:rPr>
            </w:pPr>
          </w:p>
        </w:tc>
        <w:tc>
          <w:tcPr>
            <w:tcW w:w="4876" w:type="dxa"/>
            <w:vAlign w:val="center"/>
          </w:tcPr>
          <w:p>
            <w:pPr>
              <w:spacing w:line="240" w:lineRule="auto"/>
              <w:ind w:firstLine="0" w:firstLineChars="0"/>
              <w:jc w:val="center"/>
              <w:rPr>
                <w:sz w:val="24"/>
                <w:szCs w:val="24"/>
              </w:rPr>
            </w:pPr>
            <w:r>
              <w:rPr>
                <w:rFonts w:hint="eastAsia" w:cs="仿宋"/>
                <w:sz w:val="24"/>
                <w:szCs w:val="24"/>
              </w:rPr>
              <w:t>可承载猪当量</w:t>
            </w:r>
            <w:r>
              <w:rPr>
                <w:sz w:val="24"/>
                <w:szCs w:val="24"/>
              </w:rPr>
              <w:t>/</w:t>
            </w:r>
            <w:r>
              <w:rPr>
                <w:rFonts w:hint="eastAsia" w:cs="仿宋"/>
                <w:sz w:val="24"/>
                <w:szCs w:val="24"/>
              </w:rPr>
              <w:t>万头</w:t>
            </w:r>
          </w:p>
        </w:tc>
        <w:tc>
          <w:tcPr>
            <w:tcW w:w="2120" w:type="dxa"/>
            <w:vAlign w:val="center"/>
          </w:tcPr>
          <w:p>
            <w:pPr>
              <w:spacing w:line="240" w:lineRule="auto"/>
              <w:ind w:firstLine="0" w:firstLineChars="0"/>
              <w:jc w:val="center"/>
              <w:rPr>
                <w:sz w:val="24"/>
                <w:szCs w:val="24"/>
              </w:rPr>
            </w:pPr>
            <w:r>
              <w:rPr>
                <w:sz w:val="24"/>
                <w:szCs w:val="24"/>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restart"/>
            <w:vAlign w:val="center"/>
          </w:tcPr>
          <w:p>
            <w:pPr>
              <w:spacing w:line="240" w:lineRule="auto"/>
              <w:ind w:firstLine="0" w:firstLineChars="0"/>
              <w:jc w:val="center"/>
              <w:rPr>
                <w:sz w:val="24"/>
                <w:szCs w:val="24"/>
              </w:rPr>
            </w:pPr>
            <w:r>
              <w:rPr>
                <w:rFonts w:hint="eastAsia" w:cs="仿宋"/>
                <w:sz w:val="24"/>
                <w:szCs w:val="24"/>
              </w:rPr>
              <w:t>林地</w:t>
            </w:r>
          </w:p>
        </w:tc>
        <w:tc>
          <w:tcPr>
            <w:tcW w:w="4876" w:type="dxa"/>
            <w:vAlign w:val="center"/>
          </w:tcPr>
          <w:p>
            <w:pPr>
              <w:spacing w:line="240" w:lineRule="auto"/>
              <w:ind w:firstLine="0" w:firstLineChars="0"/>
              <w:jc w:val="center"/>
              <w:rPr>
                <w:sz w:val="24"/>
                <w:szCs w:val="24"/>
              </w:rPr>
            </w:pPr>
            <w:r>
              <w:rPr>
                <w:rFonts w:hint="eastAsia" w:cs="仿宋"/>
                <w:sz w:val="24"/>
                <w:szCs w:val="24"/>
              </w:rPr>
              <w:t>涉农区县规划面积</w:t>
            </w:r>
            <w:r>
              <w:rPr>
                <w:sz w:val="24"/>
                <w:szCs w:val="24"/>
              </w:rPr>
              <w:t>/</w:t>
            </w:r>
            <w:r>
              <w:rPr>
                <w:rFonts w:hint="eastAsia" w:cs="仿宋"/>
                <w:sz w:val="24"/>
                <w:szCs w:val="24"/>
              </w:rPr>
              <w:t>公顷</w:t>
            </w:r>
          </w:p>
        </w:tc>
        <w:tc>
          <w:tcPr>
            <w:tcW w:w="2120" w:type="dxa"/>
            <w:vAlign w:val="center"/>
          </w:tcPr>
          <w:p>
            <w:pPr>
              <w:spacing w:line="240" w:lineRule="auto"/>
              <w:ind w:firstLine="0" w:firstLineChars="0"/>
              <w:jc w:val="center"/>
              <w:rPr>
                <w:sz w:val="24"/>
                <w:szCs w:val="24"/>
              </w:rPr>
            </w:pPr>
            <w:r>
              <w:rPr>
                <w:sz w:val="24"/>
                <w:szCs w:val="24"/>
              </w:rPr>
              <w:t>220746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26" w:type="dxa"/>
            <w:vMerge w:val="continue"/>
            <w:vAlign w:val="center"/>
          </w:tcPr>
          <w:p>
            <w:pPr>
              <w:spacing w:line="240" w:lineRule="auto"/>
              <w:ind w:firstLine="0" w:firstLineChars="0"/>
              <w:jc w:val="left"/>
              <w:rPr>
                <w:sz w:val="24"/>
                <w:szCs w:val="24"/>
              </w:rPr>
            </w:pPr>
          </w:p>
        </w:tc>
        <w:tc>
          <w:tcPr>
            <w:tcW w:w="4876" w:type="dxa"/>
            <w:vAlign w:val="center"/>
          </w:tcPr>
          <w:p>
            <w:pPr>
              <w:spacing w:line="240" w:lineRule="auto"/>
              <w:ind w:firstLine="0" w:firstLineChars="0"/>
              <w:jc w:val="center"/>
              <w:rPr>
                <w:sz w:val="24"/>
                <w:szCs w:val="24"/>
              </w:rPr>
            </w:pPr>
            <w:r>
              <w:rPr>
                <w:rFonts w:hint="eastAsia" w:cs="仿宋"/>
                <w:sz w:val="24"/>
                <w:szCs w:val="24"/>
              </w:rPr>
              <w:t>可承载猪当量</w:t>
            </w:r>
            <w:r>
              <w:rPr>
                <w:sz w:val="24"/>
                <w:szCs w:val="24"/>
              </w:rPr>
              <w:t>/</w:t>
            </w:r>
            <w:r>
              <w:rPr>
                <w:rFonts w:hint="eastAsia" w:cs="仿宋"/>
                <w:sz w:val="24"/>
                <w:szCs w:val="24"/>
              </w:rPr>
              <w:t>万头</w:t>
            </w:r>
          </w:p>
        </w:tc>
        <w:tc>
          <w:tcPr>
            <w:tcW w:w="2120" w:type="dxa"/>
            <w:vAlign w:val="center"/>
          </w:tcPr>
          <w:p>
            <w:pPr>
              <w:spacing w:line="240" w:lineRule="auto"/>
              <w:ind w:firstLine="0" w:firstLineChars="0"/>
              <w:jc w:val="center"/>
              <w:rPr>
                <w:sz w:val="24"/>
                <w:szCs w:val="24"/>
              </w:rPr>
            </w:pPr>
            <w:r>
              <w:rPr>
                <w:sz w:val="24"/>
                <w:szCs w:val="24"/>
              </w:rPr>
              <w:t>234.5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02" w:type="dxa"/>
            <w:gridSpan w:val="2"/>
            <w:vAlign w:val="center"/>
          </w:tcPr>
          <w:p>
            <w:pPr>
              <w:spacing w:line="240" w:lineRule="auto"/>
              <w:ind w:firstLine="0" w:firstLineChars="0"/>
              <w:jc w:val="center"/>
              <w:rPr>
                <w:sz w:val="24"/>
                <w:szCs w:val="24"/>
              </w:rPr>
            </w:pPr>
            <w:r>
              <w:rPr>
                <w:rFonts w:hint="eastAsia" w:cs="仿宋"/>
                <w:sz w:val="24"/>
                <w:szCs w:val="24"/>
              </w:rPr>
              <w:t>总可承载猪当量</w:t>
            </w:r>
            <w:r>
              <w:rPr>
                <w:sz w:val="24"/>
                <w:szCs w:val="24"/>
              </w:rPr>
              <w:t>/</w:t>
            </w:r>
            <w:r>
              <w:rPr>
                <w:rFonts w:hint="eastAsia" w:cs="仿宋"/>
                <w:sz w:val="24"/>
                <w:szCs w:val="24"/>
              </w:rPr>
              <w:t>万头</w:t>
            </w:r>
          </w:p>
        </w:tc>
        <w:tc>
          <w:tcPr>
            <w:tcW w:w="2120" w:type="dxa"/>
            <w:vAlign w:val="center"/>
          </w:tcPr>
          <w:p>
            <w:pPr>
              <w:spacing w:line="240" w:lineRule="auto"/>
              <w:ind w:firstLine="0" w:firstLineChars="0"/>
              <w:jc w:val="center"/>
              <w:rPr>
                <w:sz w:val="24"/>
                <w:szCs w:val="24"/>
              </w:rPr>
            </w:pPr>
            <w:r>
              <w:rPr>
                <w:sz w:val="24"/>
                <w:szCs w:val="24"/>
              </w:rPr>
              <w:t>2303.2</w:t>
            </w:r>
          </w:p>
        </w:tc>
      </w:tr>
    </w:tbl>
    <w:p>
      <w:pPr>
        <w:pStyle w:val="5"/>
        <w:spacing w:before="190"/>
      </w:pPr>
      <w:r>
        <w:rPr>
          <w:rFonts w:hint="eastAsia" w:cs="仿宋"/>
        </w:rPr>
        <w:t>表</w:t>
      </w:r>
      <w:r>
        <w:t xml:space="preserve">3-2 </w:t>
      </w:r>
      <w:r>
        <w:rPr>
          <w:rFonts w:hint="eastAsia" w:cs="仿宋"/>
        </w:rPr>
        <w:t>规划养殖规模土地承载能力分析</w:t>
      </w:r>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5"/>
        <w:gridCol w:w="2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pPr>
              <w:spacing w:line="240" w:lineRule="auto"/>
              <w:ind w:firstLine="0" w:firstLineChars="0"/>
              <w:jc w:val="center"/>
              <w:rPr>
                <w:b/>
                <w:bCs/>
                <w:kern w:val="0"/>
                <w:sz w:val="24"/>
                <w:szCs w:val="24"/>
              </w:rPr>
            </w:pPr>
            <w:r>
              <w:rPr>
                <w:rFonts w:hint="eastAsia" w:cs="仿宋"/>
                <w:b/>
                <w:bCs/>
                <w:kern w:val="0"/>
                <w:sz w:val="24"/>
                <w:szCs w:val="24"/>
              </w:rPr>
              <w:t>项目</w:t>
            </w:r>
          </w:p>
        </w:tc>
        <w:tc>
          <w:tcPr>
            <w:tcW w:w="2489" w:type="dxa"/>
            <w:vAlign w:val="center"/>
          </w:tcPr>
          <w:p>
            <w:pPr>
              <w:spacing w:line="240" w:lineRule="auto"/>
              <w:ind w:firstLine="0" w:firstLineChars="0"/>
              <w:jc w:val="center"/>
              <w:rPr>
                <w:b/>
                <w:bCs/>
                <w:kern w:val="0"/>
                <w:sz w:val="24"/>
                <w:szCs w:val="24"/>
              </w:rPr>
            </w:pPr>
            <w:r>
              <w:rPr>
                <w:rFonts w:hint="eastAsia" w:cs="仿宋"/>
                <w:b/>
                <w:bCs/>
                <w:kern w:val="0"/>
                <w:sz w:val="24"/>
                <w:szCs w:val="24"/>
              </w:rPr>
              <w:t>规划发展规模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5807" w:type="dxa"/>
            <w:vAlign w:val="center"/>
          </w:tcPr>
          <w:p>
            <w:pPr>
              <w:spacing w:line="240" w:lineRule="auto"/>
              <w:ind w:firstLine="0" w:firstLineChars="0"/>
              <w:jc w:val="center"/>
              <w:rPr>
                <w:kern w:val="0"/>
                <w:sz w:val="24"/>
                <w:szCs w:val="24"/>
              </w:rPr>
            </w:pPr>
            <w:r>
              <w:rPr>
                <w:rFonts w:hint="eastAsia" w:cs="仿宋"/>
                <w:kern w:val="0"/>
                <w:sz w:val="24"/>
                <w:szCs w:val="24"/>
              </w:rPr>
              <w:t>核算总猪当量</w:t>
            </w:r>
            <w:r>
              <w:rPr>
                <w:kern w:val="0"/>
                <w:sz w:val="24"/>
                <w:szCs w:val="24"/>
              </w:rPr>
              <w:t>/</w:t>
            </w:r>
            <w:r>
              <w:rPr>
                <w:rFonts w:hint="eastAsia" w:cs="仿宋"/>
                <w:kern w:val="0"/>
                <w:sz w:val="24"/>
                <w:szCs w:val="24"/>
              </w:rPr>
              <w:t>万头</w:t>
            </w:r>
          </w:p>
        </w:tc>
        <w:tc>
          <w:tcPr>
            <w:tcW w:w="2489" w:type="dxa"/>
            <w:vAlign w:val="center"/>
          </w:tcPr>
          <w:p>
            <w:pPr>
              <w:spacing w:line="240" w:lineRule="auto"/>
              <w:ind w:firstLine="0" w:firstLineChars="0"/>
              <w:jc w:val="center"/>
              <w:rPr>
                <w:kern w:val="0"/>
                <w:sz w:val="24"/>
                <w:szCs w:val="24"/>
              </w:rPr>
            </w:pPr>
            <w:r>
              <w:rPr>
                <w:kern w:val="0"/>
                <w:sz w:val="24"/>
                <w:szCs w:val="24"/>
              </w:rPr>
              <w:t>635.7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5807" w:type="dxa"/>
            <w:vAlign w:val="center"/>
          </w:tcPr>
          <w:p>
            <w:pPr>
              <w:spacing w:line="240" w:lineRule="auto"/>
              <w:ind w:firstLine="0" w:firstLineChars="0"/>
              <w:jc w:val="center"/>
              <w:rPr>
                <w:kern w:val="0"/>
                <w:sz w:val="24"/>
                <w:szCs w:val="24"/>
              </w:rPr>
            </w:pPr>
            <w:r>
              <w:rPr>
                <w:rFonts w:hint="eastAsia" w:cs="仿宋"/>
                <w:kern w:val="0"/>
                <w:sz w:val="24"/>
                <w:szCs w:val="24"/>
              </w:rPr>
              <w:t>基于土地利用规划核算可承载猪当量</w:t>
            </w:r>
            <w:r>
              <w:rPr>
                <w:kern w:val="0"/>
                <w:sz w:val="24"/>
                <w:szCs w:val="24"/>
              </w:rPr>
              <w:t>/</w:t>
            </w:r>
            <w:r>
              <w:rPr>
                <w:rFonts w:hint="eastAsia" w:cs="仿宋"/>
                <w:kern w:val="0"/>
                <w:sz w:val="24"/>
                <w:szCs w:val="24"/>
              </w:rPr>
              <w:t>万头</w:t>
            </w:r>
          </w:p>
        </w:tc>
        <w:tc>
          <w:tcPr>
            <w:tcW w:w="2489" w:type="dxa"/>
            <w:vAlign w:val="center"/>
          </w:tcPr>
          <w:p>
            <w:pPr>
              <w:spacing w:line="240" w:lineRule="auto"/>
              <w:ind w:firstLine="0" w:firstLineChars="0"/>
              <w:jc w:val="center"/>
              <w:rPr>
                <w:kern w:val="0"/>
                <w:sz w:val="24"/>
                <w:szCs w:val="24"/>
              </w:rPr>
            </w:pPr>
            <w:r>
              <w:rPr>
                <w:kern w:val="0"/>
                <w:sz w:val="24"/>
                <w:szCs w:val="24"/>
              </w:rPr>
              <w:t>2303.2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pPr>
              <w:spacing w:line="240" w:lineRule="auto"/>
              <w:ind w:firstLine="0" w:firstLineChars="0"/>
              <w:jc w:val="center"/>
              <w:rPr>
                <w:kern w:val="0"/>
                <w:sz w:val="24"/>
                <w:szCs w:val="24"/>
              </w:rPr>
            </w:pPr>
            <w:r>
              <w:rPr>
                <w:rFonts w:hint="eastAsia" w:cs="仿宋"/>
                <w:kern w:val="0"/>
                <w:sz w:val="24"/>
                <w:szCs w:val="24"/>
              </w:rPr>
              <w:t>占用比例</w:t>
            </w:r>
            <w:r>
              <w:rPr>
                <w:kern w:val="0"/>
                <w:sz w:val="24"/>
                <w:szCs w:val="24"/>
              </w:rPr>
              <w:t>/%</w:t>
            </w:r>
          </w:p>
        </w:tc>
        <w:tc>
          <w:tcPr>
            <w:tcW w:w="2489" w:type="dxa"/>
            <w:vAlign w:val="center"/>
          </w:tcPr>
          <w:p>
            <w:pPr>
              <w:spacing w:line="240" w:lineRule="auto"/>
              <w:ind w:firstLine="0" w:firstLineChars="0"/>
              <w:jc w:val="center"/>
              <w:rPr>
                <w:kern w:val="0"/>
                <w:sz w:val="24"/>
                <w:szCs w:val="24"/>
              </w:rPr>
            </w:pPr>
            <w:r>
              <w:rPr>
                <w:kern w:val="0"/>
                <w:sz w:val="24"/>
                <w:szCs w:val="24"/>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07" w:type="dxa"/>
            <w:vAlign w:val="center"/>
          </w:tcPr>
          <w:p>
            <w:pPr>
              <w:spacing w:line="240" w:lineRule="auto"/>
              <w:ind w:firstLine="0" w:firstLineChars="0"/>
              <w:jc w:val="center"/>
              <w:rPr>
                <w:kern w:val="0"/>
                <w:sz w:val="24"/>
                <w:szCs w:val="24"/>
              </w:rPr>
            </w:pPr>
            <w:r>
              <w:rPr>
                <w:rFonts w:hint="eastAsia" w:cs="仿宋"/>
                <w:kern w:val="0"/>
                <w:sz w:val="24"/>
                <w:szCs w:val="24"/>
              </w:rPr>
              <w:t>考虑各区、县（市）禁养区面积和耕地资源空间分布差异，理论承载量按照可承载猪当量的</w:t>
            </w:r>
            <w:r>
              <w:rPr>
                <w:kern w:val="0"/>
                <w:sz w:val="24"/>
                <w:szCs w:val="24"/>
              </w:rPr>
              <w:t>50%</w:t>
            </w:r>
            <w:r>
              <w:rPr>
                <w:rFonts w:hint="eastAsia" w:cs="仿宋"/>
                <w:kern w:val="0"/>
                <w:sz w:val="24"/>
                <w:szCs w:val="24"/>
              </w:rPr>
              <w:t>计</w:t>
            </w:r>
          </w:p>
        </w:tc>
        <w:tc>
          <w:tcPr>
            <w:tcW w:w="2489" w:type="dxa"/>
            <w:vAlign w:val="center"/>
          </w:tcPr>
          <w:p>
            <w:pPr>
              <w:spacing w:line="240" w:lineRule="auto"/>
              <w:ind w:firstLine="0" w:firstLineChars="0"/>
              <w:jc w:val="center"/>
              <w:rPr>
                <w:kern w:val="0"/>
                <w:sz w:val="24"/>
                <w:szCs w:val="24"/>
              </w:rPr>
            </w:pPr>
            <w:bookmarkStart w:id="34" w:name="_Hlk76139853"/>
            <w:r>
              <w:rPr>
                <w:kern w:val="0"/>
                <w:sz w:val="24"/>
                <w:szCs w:val="24"/>
              </w:rPr>
              <w:t>1151.6</w:t>
            </w:r>
            <w:bookmarkEnd w:id="3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pPr>
              <w:spacing w:line="240" w:lineRule="auto"/>
              <w:ind w:firstLine="0" w:firstLineChars="0"/>
              <w:jc w:val="center"/>
              <w:rPr>
                <w:kern w:val="0"/>
                <w:sz w:val="24"/>
                <w:szCs w:val="24"/>
              </w:rPr>
            </w:pPr>
            <w:r>
              <w:rPr>
                <w:rFonts w:hint="eastAsia" w:cs="仿宋"/>
                <w:kern w:val="0"/>
                <w:sz w:val="24"/>
                <w:szCs w:val="24"/>
              </w:rPr>
              <w:t>占用比例</w:t>
            </w:r>
            <w:r>
              <w:rPr>
                <w:kern w:val="0"/>
                <w:sz w:val="24"/>
                <w:szCs w:val="24"/>
              </w:rPr>
              <w:t>/%</w:t>
            </w:r>
          </w:p>
        </w:tc>
        <w:tc>
          <w:tcPr>
            <w:tcW w:w="2489" w:type="dxa"/>
            <w:vAlign w:val="center"/>
          </w:tcPr>
          <w:p>
            <w:pPr>
              <w:spacing w:line="240" w:lineRule="auto"/>
              <w:ind w:firstLine="0" w:firstLineChars="0"/>
              <w:jc w:val="center"/>
              <w:rPr>
                <w:rFonts w:eastAsia="等线"/>
                <w:kern w:val="0"/>
                <w:sz w:val="21"/>
                <w:szCs w:val="21"/>
              </w:rPr>
            </w:pPr>
            <w:r>
              <w:rPr>
                <w:kern w:val="0"/>
                <w:sz w:val="24"/>
                <w:szCs w:val="24"/>
              </w:rPr>
              <w:t>55.2</w:t>
            </w:r>
          </w:p>
        </w:tc>
      </w:tr>
    </w:tbl>
    <w:p>
      <w:pPr>
        <w:pStyle w:val="4"/>
      </w:pPr>
      <w:r>
        <w:t>3.2.2</w:t>
      </w:r>
      <w:r>
        <w:rPr>
          <w:rFonts w:hint="eastAsia" w:cs="仿宋"/>
        </w:rPr>
        <w:t>水资源承载力测算</w:t>
      </w:r>
    </w:p>
    <w:p>
      <w:pPr>
        <w:ind w:firstLine="31680"/>
      </w:pPr>
      <w:r>
        <w:rPr>
          <w:rFonts w:hint="eastAsia" w:cs="仿宋"/>
        </w:rPr>
        <w:t>根据《沈阳市现代畜牧业发展规划（</w:t>
      </w:r>
      <w:r>
        <w:t>2019-2023</w:t>
      </w:r>
      <w:r>
        <w:rPr>
          <w:rFonts w:hint="eastAsia" w:cs="仿宋"/>
        </w:rPr>
        <w:t>年）环境影响报告书》，到</w:t>
      </w:r>
      <w:r>
        <w:t>2023</w:t>
      </w:r>
      <w:r>
        <w:rPr>
          <w:rFonts w:hint="eastAsia" w:cs="仿宋"/>
        </w:rPr>
        <w:t>年全市猪、牛、羊、家禽年存栏量分别为</w:t>
      </w:r>
      <w:r>
        <w:t>193.2</w:t>
      </w:r>
      <w:r>
        <w:rPr>
          <w:rFonts w:hint="eastAsia" w:cs="仿宋"/>
        </w:rPr>
        <w:t>万头、</w:t>
      </w:r>
      <w:r>
        <w:t>77</w:t>
      </w:r>
      <w:r>
        <w:rPr>
          <w:rFonts w:hint="eastAsia" w:cs="仿宋"/>
        </w:rPr>
        <w:t>万头、</w:t>
      </w:r>
      <w:r>
        <w:t>84</w:t>
      </w:r>
      <w:r>
        <w:rPr>
          <w:rFonts w:hint="eastAsia" w:cs="仿宋"/>
        </w:rPr>
        <w:t>万头、</w:t>
      </w:r>
      <w:r>
        <w:t>2849</w:t>
      </w:r>
      <w:r>
        <w:rPr>
          <w:rFonts w:hint="eastAsia" w:cs="仿宋"/>
        </w:rPr>
        <w:t>万只，折算合计为</w:t>
      </w:r>
      <w:r>
        <w:t>635.7</w:t>
      </w:r>
      <w:r>
        <w:rPr>
          <w:rFonts w:hint="eastAsia" w:cs="仿宋"/>
        </w:rPr>
        <w:t>万头猪当量。依据《辽宁省行业用水定额》（</w:t>
      </w:r>
      <w:r>
        <w:t>DB21/T 1237—2020</w:t>
      </w:r>
      <w:r>
        <w:rPr>
          <w:rFonts w:hint="eastAsia" w:cs="仿宋"/>
        </w:rPr>
        <w:t>），取一个猪当量日用水量为</w:t>
      </w:r>
      <w:r>
        <w:t>19L/</w:t>
      </w:r>
      <w:r>
        <w:rPr>
          <w:rFonts w:hint="eastAsia" w:cs="仿宋"/>
        </w:rPr>
        <w:t>日</w:t>
      </w:r>
      <w:r>
        <w:t>·</w:t>
      </w:r>
      <w:r>
        <w:rPr>
          <w:rFonts w:hint="eastAsia" w:cs="仿宋"/>
        </w:rPr>
        <w:t>头（集中养殖育肥猪先进值），年总用水量为</w:t>
      </w:r>
      <w:r>
        <w:t>4408.5</w:t>
      </w:r>
      <w:r>
        <w:rPr>
          <w:rFonts w:hint="eastAsia" w:cs="仿宋"/>
        </w:rPr>
        <w:t>万立方米，占沈阳市多平均水资源总量的</w:t>
      </w:r>
      <w:r>
        <w:t>1.85%</w:t>
      </w:r>
      <w:r>
        <w:rPr>
          <w:rFonts w:hint="eastAsia" w:cs="仿宋"/>
        </w:rPr>
        <w:t>。因此，水资源承载力可满足畜禽养殖发展需要。但考虑到部分区域时空分布不均，存在区域性缺水和季节性缺水。因此，应尽可能降低水资源消耗指标。</w:t>
      </w:r>
    </w:p>
    <w:p>
      <w:pPr>
        <w:pStyle w:val="4"/>
      </w:pPr>
      <w:r>
        <w:t>3.2.3</w:t>
      </w:r>
      <w:r>
        <w:rPr>
          <w:rFonts w:hint="eastAsia" w:cs="仿宋"/>
        </w:rPr>
        <w:t>水环境承载力测算</w:t>
      </w:r>
    </w:p>
    <w:p>
      <w:pPr>
        <w:ind w:firstLine="31680"/>
      </w:pPr>
      <w:r>
        <w:rPr>
          <w:rFonts w:hint="eastAsia" w:cs="仿宋"/>
        </w:rPr>
        <w:t>依据《水环境承载力评价办法（试行）》，统计</w:t>
      </w:r>
      <w:r>
        <w:t>2020</w:t>
      </w:r>
      <w:r>
        <w:rPr>
          <w:rFonts w:hint="eastAsia" w:cs="仿宋"/>
        </w:rPr>
        <w:t>年沈阳市内主要国考及省考河流水质达标情况，计算得到沈阳市主要河流环境承载力，水环境承载力指数越大，表明区域水环境系统对社会经济系统支持能力越强。其中，八家子河、白塔堡河、北沙河、辽河、柳河、秀水河、养息牧河</w:t>
      </w:r>
      <w:r>
        <w:t>R</w:t>
      </w:r>
      <w:r>
        <w:rPr>
          <w:vertAlign w:val="subscript"/>
        </w:rPr>
        <w:t>c</w:t>
      </w:r>
      <w:r>
        <w:rPr>
          <w:rFonts w:hint="eastAsia" w:cs="仿宋"/>
        </w:rPr>
        <w:t>值介于</w:t>
      </w:r>
      <w:r>
        <w:t>70%-90%</w:t>
      </w:r>
      <w:r>
        <w:rPr>
          <w:rFonts w:hint="eastAsia" w:cs="仿宋"/>
        </w:rPr>
        <w:t>之间，处于临界超载状态。浑河、拉马河、蒲河、细河、左小河</w:t>
      </w:r>
      <w:r>
        <w:t>R</w:t>
      </w:r>
      <w:r>
        <w:rPr>
          <w:vertAlign w:val="subscript"/>
        </w:rPr>
        <w:t>c</w:t>
      </w:r>
      <w:r>
        <w:rPr>
          <w:rFonts w:hint="eastAsia" w:cs="仿宋"/>
        </w:rPr>
        <w:t>值</w:t>
      </w:r>
      <w:r>
        <w:t>≥90%</w:t>
      </w:r>
      <w:r>
        <w:rPr>
          <w:rFonts w:hint="eastAsia" w:cs="仿宋"/>
        </w:rPr>
        <w:t>，处于未超载状态。</w:t>
      </w:r>
    </w:p>
    <w:p>
      <w:pPr>
        <w:pStyle w:val="5"/>
        <w:spacing w:before="190"/>
      </w:pPr>
      <w:r>
        <w:rPr>
          <w:rFonts w:hint="eastAsia" w:cs="仿宋"/>
        </w:rPr>
        <w:t>表</w:t>
      </w:r>
      <w:r>
        <w:t xml:space="preserve">3-3 </w:t>
      </w:r>
      <w:r>
        <w:rPr>
          <w:rFonts w:hint="eastAsia" w:cs="仿宋"/>
        </w:rPr>
        <w:t>沈阳市主要河流水环境承载力评价</w:t>
      </w:r>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897"/>
        <w:gridCol w:w="854"/>
        <w:gridCol w:w="726"/>
        <w:gridCol w:w="1164"/>
        <w:gridCol w:w="874"/>
        <w:gridCol w:w="1019"/>
        <w:gridCol w:w="873"/>
        <w:gridCol w:w="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680"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河流</w:t>
            </w:r>
          </w:p>
        </w:tc>
        <w:tc>
          <w:tcPr>
            <w:tcW w:w="526"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断面性质</w:t>
            </w:r>
          </w:p>
        </w:tc>
        <w:tc>
          <w:tcPr>
            <w:tcW w:w="501"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达标次数</w:t>
            </w:r>
          </w:p>
        </w:tc>
        <w:tc>
          <w:tcPr>
            <w:tcW w:w="426"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监测次数</w:t>
            </w:r>
          </w:p>
        </w:tc>
        <w:tc>
          <w:tcPr>
            <w:tcW w:w="683"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平均值达标点位数</w:t>
            </w:r>
          </w:p>
        </w:tc>
        <w:tc>
          <w:tcPr>
            <w:tcW w:w="513" w:type="pct"/>
            <w:noWrap/>
            <w:vAlign w:val="center"/>
          </w:tcPr>
          <w:p>
            <w:pPr>
              <w:widowControl/>
              <w:spacing w:line="240" w:lineRule="auto"/>
              <w:ind w:firstLine="0" w:firstLineChars="0"/>
              <w:jc w:val="center"/>
              <w:rPr>
                <w:b/>
                <w:bCs/>
                <w:kern w:val="0"/>
                <w:sz w:val="22"/>
                <w:szCs w:val="22"/>
              </w:rPr>
            </w:pPr>
            <w:r>
              <w:rPr>
                <w:rFonts w:hint="eastAsia" w:cs="仿宋"/>
                <w:b/>
                <w:bCs/>
                <w:kern w:val="0"/>
                <w:sz w:val="22"/>
                <w:szCs w:val="22"/>
              </w:rPr>
              <w:t>总点位数</w:t>
            </w:r>
          </w:p>
        </w:tc>
        <w:tc>
          <w:tcPr>
            <w:tcW w:w="598" w:type="pct"/>
            <w:noWrap/>
            <w:vAlign w:val="center"/>
          </w:tcPr>
          <w:p>
            <w:pPr>
              <w:widowControl/>
              <w:spacing w:line="240" w:lineRule="auto"/>
              <w:ind w:firstLine="0" w:firstLineChars="0"/>
              <w:jc w:val="center"/>
              <w:rPr>
                <w:b/>
                <w:bCs/>
                <w:kern w:val="0"/>
                <w:sz w:val="22"/>
                <w:szCs w:val="22"/>
              </w:rPr>
            </w:pPr>
            <w:r>
              <w:rPr>
                <w:b/>
                <w:bCs/>
                <w:kern w:val="0"/>
                <w:sz w:val="22"/>
                <w:szCs w:val="22"/>
              </w:rPr>
              <w:t>A</w:t>
            </w:r>
            <w:r>
              <w:rPr>
                <w:b/>
                <w:bCs/>
                <w:kern w:val="0"/>
                <w:sz w:val="22"/>
                <w:szCs w:val="22"/>
                <w:vertAlign w:val="subscript"/>
              </w:rPr>
              <w:t>1</w:t>
            </w:r>
          </w:p>
        </w:tc>
        <w:tc>
          <w:tcPr>
            <w:tcW w:w="512" w:type="pct"/>
            <w:noWrap/>
            <w:vAlign w:val="center"/>
          </w:tcPr>
          <w:p>
            <w:pPr>
              <w:widowControl/>
              <w:spacing w:line="240" w:lineRule="auto"/>
              <w:ind w:firstLine="0" w:firstLineChars="0"/>
              <w:jc w:val="center"/>
              <w:rPr>
                <w:b/>
                <w:bCs/>
                <w:kern w:val="0"/>
                <w:sz w:val="22"/>
                <w:szCs w:val="22"/>
              </w:rPr>
            </w:pPr>
            <w:r>
              <w:rPr>
                <w:b/>
                <w:bCs/>
                <w:kern w:val="0"/>
                <w:sz w:val="22"/>
                <w:szCs w:val="22"/>
              </w:rPr>
              <w:t>A</w:t>
            </w:r>
            <w:r>
              <w:rPr>
                <w:b/>
                <w:bCs/>
                <w:kern w:val="0"/>
                <w:sz w:val="22"/>
                <w:szCs w:val="22"/>
                <w:vertAlign w:val="subscript"/>
              </w:rPr>
              <w:t>2</w:t>
            </w:r>
          </w:p>
        </w:tc>
        <w:tc>
          <w:tcPr>
            <w:tcW w:w="561" w:type="pct"/>
            <w:noWrap/>
            <w:vAlign w:val="center"/>
          </w:tcPr>
          <w:p>
            <w:pPr>
              <w:widowControl/>
              <w:spacing w:line="240" w:lineRule="auto"/>
              <w:ind w:firstLine="0" w:firstLineChars="0"/>
              <w:jc w:val="center"/>
              <w:rPr>
                <w:b/>
                <w:bCs/>
                <w:kern w:val="0"/>
                <w:sz w:val="22"/>
                <w:szCs w:val="22"/>
              </w:rPr>
            </w:pPr>
            <w:bookmarkStart w:id="35" w:name="_Hlk76457632"/>
            <w:r>
              <w:rPr>
                <w:b/>
                <w:bCs/>
                <w:kern w:val="0"/>
                <w:sz w:val="22"/>
                <w:szCs w:val="22"/>
              </w:rPr>
              <w:t>R</w:t>
            </w:r>
            <w:r>
              <w:rPr>
                <w:b/>
                <w:bCs/>
                <w:kern w:val="0"/>
                <w:sz w:val="22"/>
                <w:szCs w:val="22"/>
                <w:vertAlign w:val="subscript"/>
              </w:rPr>
              <w:t>c</w:t>
            </w:r>
            <w:bookmarkEnd w:id="3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浑河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28</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34</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4</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4</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0.82</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b/>
                <w:bCs/>
                <w:kern w:val="0"/>
                <w:sz w:val="22"/>
                <w:szCs w:val="22"/>
              </w:rPr>
            </w:pPr>
            <w:r>
              <w:rPr>
                <w:b/>
                <w:bCs/>
                <w:kern w:val="0"/>
                <w:sz w:val="22"/>
                <w:szCs w:val="22"/>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拉马河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9</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11</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0.82</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b/>
                <w:bCs/>
                <w:kern w:val="0"/>
                <w:sz w:val="22"/>
                <w:szCs w:val="22"/>
              </w:rPr>
            </w:pPr>
            <w:r>
              <w:rPr>
                <w:b/>
                <w:bCs/>
                <w:kern w:val="0"/>
                <w:sz w:val="22"/>
                <w:szCs w:val="22"/>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辽河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26</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33</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3</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3</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0.79</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kern w:val="0"/>
                <w:sz w:val="22"/>
                <w:szCs w:val="22"/>
              </w:rPr>
            </w:pPr>
            <w:r>
              <w:rPr>
                <w:kern w:val="0"/>
                <w:sz w:val="22"/>
                <w:szCs w:val="22"/>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柳河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5</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9</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0.56</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kern w:val="0"/>
                <w:sz w:val="22"/>
                <w:szCs w:val="22"/>
              </w:rPr>
            </w:pPr>
            <w:r>
              <w:rPr>
                <w:kern w:val="0"/>
                <w:sz w:val="22"/>
                <w:szCs w:val="22"/>
              </w:rPr>
              <w:t>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蒲河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21</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21</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2</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2</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b/>
                <w:bCs/>
                <w:kern w:val="0"/>
                <w:sz w:val="22"/>
                <w:szCs w:val="22"/>
              </w:rPr>
            </w:pPr>
            <w:r>
              <w:rPr>
                <w:b/>
                <w:bCs/>
                <w:kern w:val="0"/>
                <w:sz w:val="22"/>
                <w:szCs w:val="22"/>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细河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国考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9</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11</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0.82</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b/>
                <w:bCs/>
                <w:kern w:val="0"/>
                <w:sz w:val="22"/>
                <w:szCs w:val="22"/>
              </w:rPr>
            </w:pPr>
            <w:r>
              <w:rPr>
                <w:b/>
                <w:bCs/>
                <w:kern w:val="0"/>
                <w:sz w:val="22"/>
                <w:szCs w:val="22"/>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vAlign w:val="center"/>
          </w:tcPr>
          <w:p>
            <w:pPr>
              <w:widowControl/>
              <w:spacing w:line="240" w:lineRule="auto"/>
              <w:ind w:firstLine="0" w:firstLineChars="0"/>
              <w:jc w:val="center"/>
              <w:rPr>
                <w:kern w:val="0"/>
                <w:sz w:val="22"/>
                <w:szCs w:val="22"/>
              </w:rPr>
            </w:pPr>
            <w:r>
              <w:rPr>
                <w:rFonts w:hint="eastAsia" w:cs="仿宋"/>
                <w:kern w:val="0"/>
                <w:sz w:val="22"/>
                <w:szCs w:val="22"/>
              </w:rPr>
              <w:t>秀水河</w:t>
            </w:r>
          </w:p>
        </w:tc>
        <w:tc>
          <w:tcPr>
            <w:tcW w:w="526" w:type="pct"/>
            <w:shd w:val="clear" w:color="000000" w:fill="F2F2F2"/>
            <w:noWrap/>
            <w:vAlign w:val="center"/>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5</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7</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0.71</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kern w:val="0"/>
                <w:sz w:val="22"/>
                <w:szCs w:val="22"/>
              </w:rPr>
            </w:pPr>
            <w:r>
              <w:rPr>
                <w:kern w:val="0"/>
                <w:sz w:val="22"/>
                <w:szCs w:val="22"/>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养息牧河</w:t>
            </w:r>
          </w:p>
        </w:tc>
        <w:tc>
          <w:tcPr>
            <w:tcW w:w="526" w:type="pct"/>
            <w:noWrap/>
            <w:vAlign w:val="center"/>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6</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8</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0.75</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kern w:val="0"/>
                <w:sz w:val="22"/>
                <w:szCs w:val="22"/>
              </w:rPr>
            </w:pPr>
            <w:r>
              <w:rPr>
                <w:kern w:val="0"/>
                <w:sz w:val="22"/>
                <w:szCs w:val="22"/>
              </w:rPr>
              <w:t>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vAlign w:val="center"/>
          </w:tcPr>
          <w:p>
            <w:pPr>
              <w:widowControl/>
              <w:spacing w:line="240" w:lineRule="auto"/>
              <w:ind w:firstLine="0" w:firstLineChars="0"/>
              <w:jc w:val="center"/>
              <w:rPr>
                <w:kern w:val="0"/>
                <w:sz w:val="22"/>
                <w:szCs w:val="22"/>
              </w:rPr>
            </w:pPr>
            <w:r>
              <w:rPr>
                <w:rFonts w:hint="eastAsia" w:cs="仿宋"/>
                <w:kern w:val="0"/>
                <w:sz w:val="22"/>
                <w:szCs w:val="22"/>
              </w:rPr>
              <w:t>左小河</w:t>
            </w:r>
          </w:p>
        </w:tc>
        <w:tc>
          <w:tcPr>
            <w:tcW w:w="526" w:type="pct"/>
            <w:shd w:val="clear" w:color="000000" w:fill="F2F2F2"/>
            <w:noWrap/>
            <w:vAlign w:val="center"/>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vAlign w:val="center"/>
          </w:tcPr>
          <w:p>
            <w:pPr>
              <w:widowControl/>
              <w:spacing w:line="240" w:lineRule="auto"/>
              <w:ind w:firstLine="0" w:firstLineChars="0"/>
              <w:jc w:val="center"/>
              <w:rPr>
                <w:kern w:val="0"/>
                <w:sz w:val="22"/>
                <w:szCs w:val="22"/>
              </w:rPr>
            </w:pPr>
            <w:r>
              <w:rPr>
                <w:kern w:val="0"/>
                <w:sz w:val="22"/>
                <w:szCs w:val="22"/>
              </w:rPr>
              <w:t>4</w:t>
            </w:r>
          </w:p>
        </w:tc>
        <w:tc>
          <w:tcPr>
            <w:tcW w:w="426" w:type="pct"/>
            <w:noWrap/>
            <w:vAlign w:val="center"/>
          </w:tcPr>
          <w:p>
            <w:pPr>
              <w:widowControl/>
              <w:spacing w:line="240" w:lineRule="auto"/>
              <w:ind w:firstLine="0" w:firstLineChars="0"/>
              <w:jc w:val="center"/>
              <w:rPr>
                <w:kern w:val="0"/>
                <w:sz w:val="22"/>
                <w:szCs w:val="22"/>
              </w:rPr>
            </w:pPr>
            <w:r>
              <w:rPr>
                <w:kern w:val="0"/>
                <w:sz w:val="22"/>
                <w:szCs w:val="22"/>
              </w:rPr>
              <w:t>4</w:t>
            </w:r>
          </w:p>
        </w:tc>
        <w:tc>
          <w:tcPr>
            <w:tcW w:w="68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13" w:type="pct"/>
            <w:noWrap/>
            <w:vAlign w:val="center"/>
          </w:tcPr>
          <w:p>
            <w:pPr>
              <w:widowControl/>
              <w:spacing w:line="240" w:lineRule="auto"/>
              <w:ind w:firstLine="0" w:firstLineChars="0"/>
              <w:jc w:val="center"/>
              <w:rPr>
                <w:kern w:val="0"/>
                <w:sz w:val="22"/>
                <w:szCs w:val="22"/>
              </w:rPr>
            </w:pPr>
            <w:r>
              <w:rPr>
                <w:kern w:val="0"/>
                <w:sz w:val="22"/>
                <w:szCs w:val="22"/>
              </w:rPr>
              <w:t>1</w:t>
            </w:r>
          </w:p>
        </w:tc>
        <w:tc>
          <w:tcPr>
            <w:tcW w:w="598"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12" w:type="pct"/>
            <w:noWrap/>
            <w:vAlign w:val="center"/>
          </w:tcPr>
          <w:p>
            <w:pPr>
              <w:widowControl/>
              <w:spacing w:line="240" w:lineRule="auto"/>
              <w:ind w:firstLine="0" w:firstLineChars="0"/>
              <w:jc w:val="center"/>
              <w:rPr>
                <w:kern w:val="0"/>
                <w:sz w:val="22"/>
                <w:szCs w:val="22"/>
              </w:rPr>
            </w:pPr>
            <w:r>
              <w:rPr>
                <w:kern w:val="0"/>
                <w:sz w:val="22"/>
                <w:szCs w:val="22"/>
              </w:rPr>
              <w:t>1.00</w:t>
            </w:r>
          </w:p>
        </w:tc>
        <w:tc>
          <w:tcPr>
            <w:tcW w:w="561" w:type="pct"/>
            <w:noWrap/>
            <w:vAlign w:val="center"/>
          </w:tcPr>
          <w:p>
            <w:pPr>
              <w:widowControl/>
              <w:spacing w:line="240" w:lineRule="auto"/>
              <w:ind w:firstLine="0" w:firstLineChars="0"/>
              <w:jc w:val="center"/>
              <w:rPr>
                <w:b/>
                <w:bCs/>
                <w:kern w:val="0"/>
                <w:sz w:val="22"/>
                <w:szCs w:val="22"/>
              </w:rPr>
            </w:pPr>
            <w:r>
              <w:rPr>
                <w:b/>
                <w:bCs/>
                <w:kern w:val="0"/>
                <w:sz w:val="22"/>
                <w:szCs w:val="22"/>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八家子河</w:t>
            </w:r>
          </w:p>
        </w:tc>
        <w:tc>
          <w:tcPr>
            <w:tcW w:w="526"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tcPr>
          <w:p>
            <w:pPr>
              <w:widowControl/>
              <w:spacing w:line="240" w:lineRule="auto"/>
              <w:ind w:firstLine="0" w:firstLineChars="0"/>
              <w:jc w:val="center"/>
              <w:rPr>
                <w:kern w:val="0"/>
                <w:sz w:val="22"/>
                <w:szCs w:val="22"/>
              </w:rPr>
            </w:pPr>
            <w:r>
              <w:rPr>
                <w:kern w:val="0"/>
                <w:sz w:val="22"/>
                <w:szCs w:val="22"/>
              </w:rPr>
              <w:t>4</w:t>
            </w:r>
          </w:p>
        </w:tc>
        <w:tc>
          <w:tcPr>
            <w:tcW w:w="426" w:type="pct"/>
            <w:noWrap/>
          </w:tcPr>
          <w:p>
            <w:pPr>
              <w:widowControl/>
              <w:spacing w:line="240" w:lineRule="auto"/>
              <w:ind w:firstLine="0" w:firstLineChars="0"/>
              <w:jc w:val="center"/>
              <w:rPr>
                <w:kern w:val="0"/>
                <w:sz w:val="22"/>
                <w:szCs w:val="22"/>
              </w:rPr>
            </w:pPr>
            <w:r>
              <w:rPr>
                <w:kern w:val="0"/>
                <w:sz w:val="22"/>
                <w:szCs w:val="22"/>
              </w:rPr>
              <w:t>8</w:t>
            </w:r>
          </w:p>
        </w:tc>
        <w:tc>
          <w:tcPr>
            <w:tcW w:w="683" w:type="pct"/>
            <w:noWrap/>
          </w:tcPr>
          <w:p>
            <w:pPr>
              <w:widowControl/>
              <w:spacing w:line="240" w:lineRule="auto"/>
              <w:ind w:firstLine="0" w:firstLineChars="0"/>
              <w:jc w:val="center"/>
              <w:rPr>
                <w:kern w:val="0"/>
                <w:sz w:val="22"/>
                <w:szCs w:val="22"/>
              </w:rPr>
            </w:pPr>
            <w:r>
              <w:rPr>
                <w:kern w:val="0"/>
                <w:sz w:val="22"/>
                <w:szCs w:val="22"/>
              </w:rPr>
              <w:t>1</w:t>
            </w:r>
          </w:p>
        </w:tc>
        <w:tc>
          <w:tcPr>
            <w:tcW w:w="513" w:type="pct"/>
            <w:noWrap/>
          </w:tcPr>
          <w:p>
            <w:pPr>
              <w:widowControl/>
              <w:spacing w:line="240" w:lineRule="auto"/>
              <w:ind w:firstLine="0" w:firstLineChars="0"/>
              <w:jc w:val="center"/>
              <w:rPr>
                <w:kern w:val="0"/>
                <w:sz w:val="22"/>
                <w:szCs w:val="22"/>
              </w:rPr>
            </w:pPr>
            <w:r>
              <w:rPr>
                <w:kern w:val="0"/>
                <w:sz w:val="22"/>
                <w:szCs w:val="22"/>
              </w:rPr>
              <w:t>1</w:t>
            </w:r>
          </w:p>
        </w:tc>
        <w:tc>
          <w:tcPr>
            <w:tcW w:w="598" w:type="pct"/>
            <w:noWrap/>
          </w:tcPr>
          <w:p>
            <w:pPr>
              <w:widowControl/>
              <w:spacing w:line="240" w:lineRule="auto"/>
              <w:ind w:firstLine="0" w:firstLineChars="0"/>
              <w:jc w:val="center"/>
              <w:rPr>
                <w:kern w:val="0"/>
                <w:sz w:val="22"/>
                <w:szCs w:val="22"/>
              </w:rPr>
            </w:pPr>
            <w:r>
              <w:rPr>
                <w:kern w:val="0"/>
                <w:sz w:val="22"/>
                <w:szCs w:val="22"/>
              </w:rPr>
              <w:t>0.50</w:t>
            </w:r>
          </w:p>
        </w:tc>
        <w:tc>
          <w:tcPr>
            <w:tcW w:w="512" w:type="pct"/>
            <w:noWrap/>
          </w:tcPr>
          <w:p>
            <w:pPr>
              <w:widowControl/>
              <w:spacing w:line="240" w:lineRule="auto"/>
              <w:ind w:firstLine="0" w:firstLineChars="0"/>
              <w:jc w:val="center"/>
              <w:rPr>
                <w:kern w:val="0"/>
                <w:sz w:val="22"/>
                <w:szCs w:val="22"/>
              </w:rPr>
            </w:pPr>
            <w:r>
              <w:rPr>
                <w:kern w:val="0"/>
                <w:sz w:val="22"/>
                <w:szCs w:val="22"/>
              </w:rPr>
              <w:t>1.00</w:t>
            </w:r>
          </w:p>
        </w:tc>
        <w:tc>
          <w:tcPr>
            <w:tcW w:w="561" w:type="pct"/>
            <w:noWrap/>
          </w:tcPr>
          <w:p>
            <w:pPr>
              <w:widowControl/>
              <w:spacing w:line="240" w:lineRule="auto"/>
              <w:ind w:firstLine="0" w:firstLineChars="0"/>
              <w:jc w:val="center"/>
              <w:rPr>
                <w:kern w:val="0"/>
                <w:sz w:val="22"/>
                <w:szCs w:val="22"/>
              </w:rPr>
            </w:pPr>
            <w:r>
              <w:rPr>
                <w:kern w:val="0"/>
                <w:sz w:val="22"/>
                <w:szCs w:val="22"/>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白塔堡河</w:t>
            </w:r>
          </w:p>
        </w:tc>
        <w:tc>
          <w:tcPr>
            <w:tcW w:w="526"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tcPr>
          <w:p>
            <w:pPr>
              <w:widowControl/>
              <w:spacing w:line="240" w:lineRule="auto"/>
              <w:ind w:firstLine="0" w:firstLineChars="0"/>
              <w:jc w:val="center"/>
              <w:rPr>
                <w:kern w:val="0"/>
                <w:sz w:val="22"/>
                <w:szCs w:val="22"/>
              </w:rPr>
            </w:pPr>
            <w:r>
              <w:rPr>
                <w:kern w:val="0"/>
                <w:sz w:val="22"/>
                <w:szCs w:val="22"/>
              </w:rPr>
              <w:t>8</w:t>
            </w:r>
          </w:p>
        </w:tc>
        <w:tc>
          <w:tcPr>
            <w:tcW w:w="426" w:type="pct"/>
            <w:noWrap/>
          </w:tcPr>
          <w:p>
            <w:pPr>
              <w:widowControl/>
              <w:spacing w:line="240" w:lineRule="auto"/>
              <w:ind w:firstLine="0" w:firstLineChars="0"/>
              <w:jc w:val="center"/>
              <w:rPr>
                <w:kern w:val="0"/>
                <w:sz w:val="22"/>
                <w:szCs w:val="22"/>
              </w:rPr>
            </w:pPr>
            <w:r>
              <w:rPr>
                <w:kern w:val="0"/>
                <w:sz w:val="22"/>
                <w:szCs w:val="22"/>
              </w:rPr>
              <w:t>11</w:t>
            </w:r>
          </w:p>
        </w:tc>
        <w:tc>
          <w:tcPr>
            <w:tcW w:w="683" w:type="pct"/>
            <w:noWrap/>
          </w:tcPr>
          <w:p>
            <w:pPr>
              <w:widowControl/>
              <w:spacing w:line="240" w:lineRule="auto"/>
              <w:ind w:firstLine="0" w:firstLineChars="0"/>
              <w:jc w:val="center"/>
              <w:rPr>
                <w:kern w:val="0"/>
                <w:sz w:val="22"/>
                <w:szCs w:val="22"/>
              </w:rPr>
            </w:pPr>
            <w:r>
              <w:rPr>
                <w:kern w:val="0"/>
                <w:sz w:val="22"/>
                <w:szCs w:val="22"/>
              </w:rPr>
              <w:t>1</w:t>
            </w:r>
          </w:p>
        </w:tc>
        <w:tc>
          <w:tcPr>
            <w:tcW w:w="513" w:type="pct"/>
            <w:noWrap/>
          </w:tcPr>
          <w:p>
            <w:pPr>
              <w:widowControl/>
              <w:spacing w:line="240" w:lineRule="auto"/>
              <w:ind w:firstLine="0" w:firstLineChars="0"/>
              <w:jc w:val="center"/>
              <w:rPr>
                <w:kern w:val="0"/>
                <w:sz w:val="22"/>
                <w:szCs w:val="22"/>
              </w:rPr>
            </w:pPr>
            <w:r>
              <w:rPr>
                <w:kern w:val="0"/>
                <w:sz w:val="22"/>
                <w:szCs w:val="22"/>
              </w:rPr>
              <w:t>1</w:t>
            </w:r>
          </w:p>
        </w:tc>
        <w:tc>
          <w:tcPr>
            <w:tcW w:w="598" w:type="pct"/>
            <w:noWrap/>
          </w:tcPr>
          <w:p>
            <w:pPr>
              <w:widowControl/>
              <w:spacing w:line="240" w:lineRule="auto"/>
              <w:ind w:firstLine="0" w:firstLineChars="0"/>
              <w:jc w:val="center"/>
              <w:rPr>
                <w:kern w:val="0"/>
                <w:sz w:val="22"/>
                <w:szCs w:val="22"/>
              </w:rPr>
            </w:pPr>
            <w:r>
              <w:rPr>
                <w:kern w:val="0"/>
                <w:sz w:val="22"/>
                <w:szCs w:val="22"/>
              </w:rPr>
              <w:t>0.73</w:t>
            </w:r>
          </w:p>
        </w:tc>
        <w:tc>
          <w:tcPr>
            <w:tcW w:w="512" w:type="pct"/>
            <w:noWrap/>
          </w:tcPr>
          <w:p>
            <w:pPr>
              <w:widowControl/>
              <w:spacing w:line="240" w:lineRule="auto"/>
              <w:ind w:firstLine="0" w:firstLineChars="0"/>
              <w:jc w:val="center"/>
              <w:rPr>
                <w:kern w:val="0"/>
                <w:sz w:val="22"/>
                <w:szCs w:val="22"/>
              </w:rPr>
            </w:pPr>
            <w:r>
              <w:rPr>
                <w:kern w:val="0"/>
                <w:sz w:val="22"/>
                <w:szCs w:val="22"/>
              </w:rPr>
              <w:t>1.00</w:t>
            </w:r>
          </w:p>
        </w:tc>
        <w:tc>
          <w:tcPr>
            <w:tcW w:w="561" w:type="pct"/>
            <w:noWrap/>
          </w:tcPr>
          <w:p>
            <w:pPr>
              <w:widowControl/>
              <w:spacing w:line="240" w:lineRule="auto"/>
              <w:ind w:firstLine="0" w:firstLineChars="0"/>
              <w:jc w:val="center"/>
              <w:rPr>
                <w:kern w:val="0"/>
                <w:sz w:val="22"/>
                <w:szCs w:val="22"/>
              </w:rPr>
            </w:pPr>
            <w:r>
              <w:rPr>
                <w:kern w:val="0"/>
                <w:sz w:val="22"/>
                <w:szCs w:val="22"/>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北沙河</w:t>
            </w:r>
          </w:p>
        </w:tc>
        <w:tc>
          <w:tcPr>
            <w:tcW w:w="526" w:type="pct"/>
            <w:shd w:val="clear" w:color="000000" w:fill="F2F2F2"/>
            <w:noWrap/>
          </w:tcPr>
          <w:p>
            <w:pPr>
              <w:widowControl/>
              <w:spacing w:line="240" w:lineRule="auto"/>
              <w:ind w:firstLine="0" w:firstLineChars="0"/>
              <w:jc w:val="center"/>
              <w:rPr>
                <w:kern w:val="0"/>
                <w:sz w:val="22"/>
                <w:szCs w:val="22"/>
              </w:rPr>
            </w:pPr>
            <w:r>
              <w:rPr>
                <w:rFonts w:hint="eastAsia" w:cs="仿宋"/>
                <w:kern w:val="0"/>
                <w:sz w:val="22"/>
                <w:szCs w:val="22"/>
              </w:rPr>
              <w:t>省考</w:t>
            </w:r>
          </w:p>
        </w:tc>
        <w:tc>
          <w:tcPr>
            <w:tcW w:w="501" w:type="pct"/>
            <w:noWrap/>
          </w:tcPr>
          <w:p>
            <w:pPr>
              <w:widowControl/>
              <w:spacing w:line="240" w:lineRule="auto"/>
              <w:ind w:firstLine="0" w:firstLineChars="0"/>
              <w:jc w:val="center"/>
              <w:rPr>
                <w:kern w:val="0"/>
                <w:sz w:val="22"/>
                <w:szCs w:val="22"/>
              </w:rPr>
            </w:pPr>
            <w:r>
              <w:rPr>
                <w:kern w:val="0"/>
                <w:sz w:val="22"/>
                <w:szCs w:val="22"/>
              </w:rPr>
              <w:t>8</w:t>
            </w:r>
          </w:p>
        </w:tc>
        <w:tc>
          <w:tcPr>
            <w:tcW w:w="426" w:type="pct"/>
            <w:noWrap/>
          </w:tcPr>
          <w:p>
            <w:pPr>
              <w:widowControl/>
              <w:spacing w:line="240" w:lineRule="auto"/>
              <w:ind w:firstLine="0" w:firstLineChars="0"/>
              <w:jc w:val="center"/>
              <w:rPr>
                <w:kern w:val="0"/>
                <w:sz w:val="22"/>
                <w:szCs w:val="22"/>
              </w:rPr>
            </w:pPr>
            <w:r>
              <w:rPr>
                <w:kern w:val="0"/>
                <w:sz w:val="22"/>
                <w:szCs w:val="22"/>
              </w:rPr>
              <w:t>11</w:t>
            </w:r>
          </w:p>
        </w:tc>
        <w:tc>
          <w:tcPr>
            <w:tcW w:w="683" w:type="pct"/>
            <w:noWrap/>
          </w:tcPr>
          <w:p>
            <w:pPr>
              <w:widowControl/>
              <w:spacing w:line="240" w:lineRule="auto"/>
              <w:ind w:firstLine="0" w:firstLineChars="0"/>
              <w:jc w:val="center"/>
              <w:rPr>
                <w:kern w:val="0"/>
                <w:sz w:val="22"/>
                <w:szCs w:val="22"/>
              </w:rPr>
            </w:pPr>
            <w:r>
              <w:rPr>
                <w:kern w:val="0"/>
                <w:sz w:val="22"/>
                <w:szCs w:val="22"/>
              </w:rPr>
              <w:t>1</w:t>
            </w:r>
          </w:p>
        </w:tc>
        <w:tc>
          <w:tcPr>
            <w:tcW w:w="513" w:type="pct"/>
            <w:noWrap/>
          </w:tcPr>
          <w:p>
            <w:pPr>
              <w:widowControl/>
              <w:spacing w:line="240" w:lineRule="auto"/>
              <w:ind w:firstLine="0" w:firstLineChars="0"/>
              <w:jc w:val="center"/>
              <w:rPr>
                <w:kern w:val="0"/>
                <w:sz w:val="22"/>
                <w:szCs w:val="22"/>
              </w:rPr>
            </w:pPr>
            <w:r>
              <w:rPr>
                <w:kern w:val="0"/>
                <w:sz w:val="22"/>
                <w:szCs w:val="22"/>
              </w:rPr>
              <w:t>1</w:t>
            </w:r>
          </w:p>
        </w:tc>
        <w:tc>
          <w:tcPr>
            <w:tcW w:w="598" w:type="pct"/>
            <w:noWrap/>
          </w:tcPr>
          <w:p>
            <w:pPr>
              <w:widowControl/>
              <w:spacing w:line="240" w:lineRule="auto"/>
              <w:ind w:firstLine="0" w:firstLineChars="0"/>
              <w:jc w:val="center"/>
              <w:rPr>
                <w:kern w:val="0"/>
                <w:sz w:val="22"/>
                <w:szCs w:val="22"/>
              </w:rPr>
            </w:pPr>
            <w:r>
              <w:rPr>
                <w:kern w:val="0"/>
                <w:sz w:val="22"/>
                <w:szCs w:val="22"/>
              </w:rPr>
              <w:t>0.73</w:t>
            </w:r>
          </w:p>
        </w:tc>
        <w:tc>
          <w:tcPr>
            <w:tcW w:w="512" w:type="pct"/>
            <w:noWrap/>
          </w:tcPr>
          <w:p>
            <w:pPr>
              <w:widowControl/>
              <w:spacing w:line="240" w:lineRule="auto"/>
              <w:ind w:firstLine="0" w:firstLineChars="0"/>
              <w:jc w:val="center"/>
              <w:rPr>
                <w:kern w:val="0"/>
                <w:sz w:val="22"/>
                <w:szCs w:val="22"/>
              </w:rPr>
            </w:pPr>
            <w:r>
              <w:rPr>
                <w:kern w:val="0"/>
                <w:sz w:val="22"/>
                <w:szCs w:val="22"/>
              </w:rPr>
              <w:t>1.00</w:t>
            </w:r>
          </w:p>
        </w:tc>
        <w:tc>
          <w:tcPr>
            <w:tcW w:w="561" w:type="pct"/>
            <w:noWrap/>
          </w:tcPr>
          <w:p>
            <w:pPr>
              <w:widowControl/>
              <w:spacing w:line="240" w:lineRule="auto"/>
              <w:ind w:firstLine="0" w:firstLineChars="0"/>
              <w:jc w:val="center"/>
              <w:rPr>
                <w:kern w:val="0"/>
                <w:sz w:val="22"/>
                <w:szCs w:val="22"/>
              </w:rPr>
            </w:pPr>
            <w:r>
              <w:rPr>
                <w:kern w:val="0"/>
                <w:sz w:val="22"/>
                <w:szCs w:val="22"/>
              </w:rPr>
              <w:t>0.86</w:t>
            </w:r>
          </w:p>
        </w:tc>
      </w:tr>
    </w:tbl>
    <w:p>
      <w:pPr>
        <w:pStyle w:val="3"/>
      </w:pPr>
      <w:bookmarkStart w:id="36" w:name="_Toc90558535"/>
      <w:r>
        <w:t>3.3</w:t>
      </w:r>
      <w:r>
        <w:rPr>
          <w:rFonts w:hint="eastAsia" w:cs="仿宋"/>
        </w:rPr>
        <w:t>目标可达性分析</w:t>
      </w:r>
      <w:bookmarkEnd w:id="36"/>
    </w:p>
    <w:p>
      <w:pPr>
        <w:ind w:firstLine="31680"/>
      </w:pPr>
      <w:bookmarkStart w:id="37" w:name="_Hlk89873176"/>
      <w:r>
        <w:rPr>
          <w:rFonts w:hint="eastAsia" w:cs="仿宋"/>
        </w:rPr>
        <w:t>沈阳市</w:t>
      </w:r>
      <w:bookmarkStart w:id="38" w:name="_Hlk81832667"/>
      <w:r>
        <w:rPr>
          <w:rFonts w:hint="eastAsia" w:cs="仿宋"/>
        </w:rPr>
        <w:t>畜禽粪污综合利用率</w:t>
      </w:r>
      <w:bookmarkEnd w:id="38"/>
      <w:r>
        <w:rPr>
          <w:rFonts w:hint="eastAsia" w:cs="仿宋"/>
        </w:rPr>
        <w:t>现状为</w:t>
      </w:r>
      <w:r>
        <w:t>75%</w:t>
      </w:r>
      <w:r>
        <w:rPr>
          <w:rFonts w:hint="eastAsia" w:cs="仿宋"/>
        </w:rPr>
        <w:t>，拟通过沈北新区、辽中区、新民市、康平县、法库县整县推进工作，以及其它区县畜禽粪污收集处置项目的实施，提升畜禽粪污综合利用率至</w:t>
      </w:r>
      <w:r>
        <w:t>80%</w:t>
      </w:r>
      <w:r>
        <w:rPr>
          <w:rFonts w:hint="eastAsia" w:cs="仿宋"/>
        </w:rPr>
        <w:t>，实现规划目标。</w:t>
      </w:r>
    </w:p>
    <w:p>
      <w:pPr>
        <w:ind w:firstLine="31680"/>
      </w:pPr>
      <w:r>
        <w:rPr>
          <w:rFonts w:hint="eastAsia" w:cs="仿宋"/>
        </w:rPr>
        <w:t>目前，规模养殖场粪污处理设施装备配套率已达到</w:t>
      </w:r>
      <w:r>
        <w:t>95%</w:t>
      </w:r>
      <w:r>
        <w:rPr>
          <w:rFonts w:hint="eastAsia" w:cs="仿宋"/>
        </w:rPr>
        <w:t>以上，“十四五”期间，</w:t>
      </w:r>
      <w:bookmarkStart w:id="39" w:name="_Hlk89868469"/>
      <w:r>
        <w:rPr>
          <w:rFonts w:hint="eastAsia" w:cs="仿宋"/>
        </w:rPr>
        <w:t>通过与畜禽养殖业环境监督执法、</w:t>
      </w:r>
      <w:bookmarkEnd w:id="39"/>
      <w:r>
        <w:rPr>
          <w:rFonts w:hint="eastAsia" w:cs="仿宋"/>
        </w:rPr>
        <w:t>畜牧业相关补贴政策的相结合，做好未配套粪污处理设施畜禽规模养殖场的配套工作，畜禽规模养殖场粪污处理设施装备配套率达到国家及省厅相关要求。</w:t>
      </w:r>
    </w:p>
    <w:p>
      <w:pPr>
        <w:ind w:firstLine="31680"/>
      </w:pPr>
      <w:r>
        <w:rPr>
          <w:rFonts w:hint="eastAsia" w:cs="仿宋"/>
        </w:rPr>
        <w:t>沈阳市在“十三五”畜禽养殖污染防治管理过程中，要求采用资源化利用畜禽粪污的养殖场建立资源化利用台账，</w:t>
      </w:r>
      <w:bookmarkStart w:id="40" w:name="_Hlk89868446"/>
      <w:r>
        <w:rPr>
          <w:rFonts w:hint="eastAsia" w:cs="仿宋"/>
        </w:rPr>
        <w:t>“十四五”期间，</w:t>
      </w:r>
      <w:bookmarkEnd w:id="40"/>
      <w:r>
        <w:rPr>
          <w:rFonts w:hint="eastAsia" w:cs="仿宋"/>
        </w:rPr>
        <w:t>拟通过加强宣传，逐步推进粪肥利用台账制度实施，强化指导服务，做好粪肥利用台账培训等工作措施，规范台账制度落地、实施、监管工作，</w:t>
      </w:r>
      <w:bookmarkStart w:id="41" w:name="_Hlk89934414"/>
      <w:r>
        <w:rPr>
          <w:rFonts w:hint="eastAsia" w:cs="仿宋"/>
        </w:rPr>
        <w:t>畜禽规模养殖场资源化利用台账建设率达到国家和省相关要求</w:t>
      </w:r>
      <w:bookmarkEnd w:id="41"/>
      <w:r>
        <w:rPr>
          <w:rFonts w:hint="eastAsia" w:cs="仿宋"/>
        </w:rPr>
        <w:t>。</w:t>
      </w:r>
    </w:p>
    <w:p>
      <w:pPr>
        <w:ind w:firstLine="31680"/>
      </w:pPr>
      <w:r>
        <w:rPr>
          <w:rFonts w:hint="eastAsia" w:cs="仿宋"/>
        </w:rPr>
        <w:t>沈阳市现有规模养殖场畜禽粪污很少有采用处理后外排模式，“十四五”期间，拟通过规模养殖场日常行政管理与畜禽养殖业环境监督执法等，督促采用达标排放的畜禽规模养殖场开展自行监测，实现达标排放的畜禽规模养殖场自行监测覆盖率</w:t>
      </w:r>
      <w:r>
        <w:t>100%</w:t>
      </w:r>
      <w:r>
        <w:rPr>
          <w:rFonts w:hint="eastAsia" w:cs="仿宋"/>
        </w:rPr>
        <w:t>。</w:t>
      </w:r>
    </w:p>
    <w:bookmarkEnd w:id="37"/>
    <w:p>
      <w:pPr>
        <w:pStyle w:val="2"/>
      </w:pPr>
      <w:bookmarkStart w:id="42" w:name="_Toc90558536"/>
      <w:r>
        <w:t>4</w:t>
      </w:r>
      <w:r>
        <w:rPr>
          <w:rFonts w:hint="eastAsia" w:cs="仿宋"/>
        </w:rPr>
        <w:t>、畜禽养殖污染防治主要任务</w:t>
      </w:r>
      <w:bookmarkEnd w:id="42"/>
    </w:p>
    <w:p>
      <w:pPr>
        <w:pStyle w:val="3"/>
      </w:pPr>
      <w:bookmarkStart w:id="43" w:name="_Toc90558537"/>
      <w:r>
        <w:t>4.1</w:t>
      </w:r>
      <w:r>
        <w:rPr>
          <w:rFonts w:hint="eastAsia" w:cs="仿宋"/>
        </w:rPr>
        <w:t>畜禽养殖污染治理总体要求</w:t>
      </w:r>
      <w:bookmarkEnd w:id="43"/>
    </w:p>
    <w:p>
      <w:pPr>
        <w:pStyle w:val="4"/>
      </w:pPr>
      <w:r>
        <w:t>4.1.1</w:t>
      </w:r>
      <w:r>
        <w:rPr>
          <w:rFonts w:hint="eastAsia" w:cs="仿宋"/>
        </w:rPr>
        <w:t>结合土地承载力，优化区域空间布局</w:t>
      </w:r>
    </w:p>
    <w:p>
      <w:pPr>
        <w:ind w:firstLine="31680"/>
      </w:pPr>
      <w:r>
        <w:rPr>
          <w:rFonts w:hint="eastAsia" w:cs="仿宋"/>
        </w:rPr>
        <w:t>调整区域布局，引导畜禽养殖业向资源、环境和土地承载力较强的新民、康平、法库等地区发展。着力引导畜禽养殖生产逐步向养殖优势明显的县区发展，新建养殖场将按照规模化、标准化、生态化、信息化、现代化的要求进行建设，能够充分、合理利用资源，大幅提高生产效率和畜产品产出率。近郊地区严格控制传统的中小规模畜禽养殖，重点发展高端畜禽种业、现代化养殖场和畜牧二、三产业。各区县应依据区域生态环境功能定位、环境承载能力、禁养区划定情况、“三线一单”管控要求等实际情况，合理确定养殖总量、品种和规模化水平、养殖选址等，并配套建设污染防治设施，确保完成污染物总量控制和排放标准要求，推动养殖产能向粮食主产区等粪肥消纳量大的区域调整转移。</w:t>
      </w:r>
    </w:p>
    <w:p>
      <w:pPr>
        <w:pStyle w:val="4"/>
      </w:pPr>
      <w:r>
        <w:t>4.1.2</w:t>
      </w:r>
      <w:r>
        <w:rPr>
          <w:rFonts w:hint="eastAsia" w:cs="仿宋"/>
        </w:rPr>
        <w:t>发挥地缘优势，推进示范区建设</w:t>
      </w:r>
    </w:p>
    <w:p>
      <w:pPr>
        <w:ind w:firstLine="31680"/>
      </w:pPr>
      <w:r>
        <w:rPr>
          <w:rFonts w:hint="eastAsia" w:cs="仿宋"/>
        </w:rPr>
        <w:t>充分发挥当地资源和区位优势，推进示范区建设。通过科学规划、合理布局，实施保障用地等扶持政策，更好的促进优势区域内产业发展。到</w:t>
      </w:r>
      <w:r>
        <w:t>2025</w:t>
      </w:r>
      <w:r>
        <w:rPr>
          <w:rFonts w:hint="eastAsia" w:cs="仿宋"/>
        </w:rPr>
        <w:t>年，</w:t>
      </w:r>
      <w:bookmarkStart w:id="44" w:name="_Hlk78295390"/>
      <w:r>
        <w:rPr>
          <w:rFonts w:hint="eastAsia" w:cs="仿宋"/>
        </w:rPr>
        <w:t>在全市范围内建设</w:t>
      </w:r>
      <w:r>
        <w:t>23</w:t>
      </w:r>
      <w:r>
        <w:rPr>
          <w:rFonts w:hint="eastAsia" w:cs="仿宋"/>
        </w:rPr>
        <w:t>个养殖示范区，其中生猪示范区</w:t>
      </w:r>
      <w:r>
        <w:t>7</w:t>
      </w:r>
      <w:r>
        <w:rPr>
          <w:rFonts w:hint="eastAsia" w:cs="仿宋"/>
        </w:rPr>
        <w:t>个，康平县北四家子、东关镇、北三家子，新民市姚堡乡、东蛇山子镇、陶家屯镇、辽中区茨榆坨街道；肉牛示范区</w:t>
      </w:r>
      <w:r>
        <w:t>4</w:t>
      </w:r>
      <w:r>
        <w:rPr>
          <w:rFonts w:hint="eastAsia" w:cs="仿宋"/>
        </w:rPr>
        <w:t>个，法库县双台子、和平、辽中区肖寨门镇、朱家房镇；奶牛示范区</w:t>
      </w:r>
      <w:r>
        <w:t>2</w:t>
      </w:r>
      <w:r>
        <w:rPr>
          <w:rFonts w:hint="eastAsia" w:cs="仿宋"/>
        </w:rPr>
        <w:t>个，法库县秀水河、叶茂台；肉鸡示范区</w:t>
      </w:r>
      <w:r>
        <w:t>4</w:t>
      </w:r>
      <w:r>
        <w:rPr>
          <w:rFonts w:hint="eastAsia" w:cs="仿宋"/>
        </w:rPr>
        <w:t>个，康平县海洲乡、小城子镇，沈北新区财落、清水台；蛋鸡示范区</w:t>
      </w:r>
      <w:r>
        <w:t>6</w:t>
      </w:r>
      <w:r>
        <w:rPr>
          <w:rFonts w:hint="eastAsia" w:cs="仿宋"/>
        </w:rPr>
        <w:t>个，新民市公主屯镇、兴隆堡镇，辽中区朱家房镇、养士堡镇，苏家屯区沈水街道、八一红菱街道。重点培育龙头企业扩大养殖规模，提升标准化养殖水平。因地制宜，引导从常规养殖中退养的中小养殖场户发展荷包猪、貂貉、鸵鸟、鸽子等特色品种养殖。制定并严格落实畜禽养殖污染治理补贴环境效益考核及惩戒机制，确保污染治理工作落实到位。</w:t>
      </w:r>
    </w:p>
    <w:bookmarkEnd w:id="44"/>
    <w:p>
      <w:pPr>
        <w:pStyle w:val="4"/>
      </w:pPr>
      <w:r>
        <w:t>4.1.3</w:t>
      </w:r>
      <w:r>
        <w:rPr>
          <w:rFonts w:hint="eastAsia" w:cs="仿宋"/>
        </w:rPr>
        <w:t>巩固禁养区畜禽养殖场关停搬迁工作</w:t>
      </w:r>
    </w:p>
    <w:p>
      <w:pPr>
        <w:ind w:firstLine="31680"/>
      </w:pPr>
      <w:r>
        <w:rPr>
          <w:rFonts w:hint="eastAsia" w:cs="仿宋"/>
        </w:rPr>
        <w:t>认真落实畜禽养殖禁养区管理规定，对禁养区内关停需搬迁的</w:t>
      </w:r>
      <w:bookmarkStart w:id="45" w:name="_Hlk90556739"/>
      <w:r>
        <w:rPr>
          <w:rFonts w:hint="eastAsia" w:cs="仿宋"/>
        </w:rPr>
        <w:t>规模养殖场（养殖户）</w:t>
      </w:r>
      <w:bookmarkEnd w:id="45"/>
      <w:r>
        <w:rPr>
          <w:rFonts w:hint="eastAsia" w:cs="仿宋"/>
        </w:rPr>
        <w:t>，优先支持异地重建；对确需关闭的，给予合理过渡期，避免以清理代替治理；严控禁养区内新建、改建、扩建规模养殖场（养殖户），巩固禁养区搬迁关停工作成果。</w:t>
      </w:r>
    </w:p>
    <w:p>
      <w:pPr>
        <w:pStyle w:val="3"/>
      </w:pPr>
      <w:bookmarkStart w:id="46" w:name="_Toc90558538"/>
      <w:r>
        <w:t>4.2</w:t>
      </w:r>
      <w:bookmarkStart w:id="47" w:name="_Hlk85715630"/>
      <w:r>
        <w:rPr>
          <w:rFonts w:hint="eastAsia" w:cs="仿宋"/>
        </w:rPr>
        <w:t>提升畜禽粪污资源化利用水平</w:t>
      </w:r>
      <w:bookmarkEnd w:id="46"/>
      <w:bookmarkEnd w:id="47"/>
    </w:p>
    <w:p>
      <w:pPr>
        <w:pStyle w:val="4"/>
      </w:pPr>
      <w:r>
        <w:t>4.2.1</w:t>
      </w:r>
      <w:bookmarkStart w:id="48" w:name="_Hlk89874106"/>
      <w:r>
        <w:rPr>
          <w:rFonts w:hint="eastAsia" w:cs="仿宋"/>
        </w:rPr>
        <w:t>消纳土地充足区县粪污处理利用模式</w:t>
      </w:r>
    </w:p>
    <w:bookmarkEnd w:id="48"/>
    <w:p>
      <w:pPr>
        <w:ind w:firstLine="31680"/>
      </w:pPr>
      <w:bookmarkStart w:id="49" w:name="_Hlk83803514"/>
      <w:bookmarkStart w:id="50" w:name="_Hlk79405094"/>
      <w:r>
        <w:rPr>
          <w:rFonts w:hint="eastAsia" w:cs="仿宋"/>
        </w:rPr>
        <w:t>浑南区、沈北新区、苏家屯、于洪区、法库县、康平县、新民市范围内自有消纳土地面积充足的区县，规模养殖场（养殖户）粪肥就地就近还田农用。采用以下两种模式进行处理：</w:t>
      </w:r>
    </w:p>
    <w:p>
      <w:pPr>
        <w:ind w:firstLine="31680"/>
      </w:pPr>
      <w:r>
        <w:rPr>
          <w:rFonts w:hint="eastAsia" w:cs="仿宋"/>
        </w:rPr>
        <w:t>（</w:t>
      </w:r>
      <w:r>
        <w:t>1</w:t>
      </w:r>
      <w:r>
        <w:rPr>
          <w:rFonts w:hint="eastAsia" w:cs="仿宋"/>
        </w:rPr>
        <w:t>）自主消纳</w:t>
      </w:r>
    </w:p>
    <w:p>
      <w:pPr>
        <w:ind w:firstLine="31680"/>
      </w:pPr>
      <w:r>
        <w:rPr>
          <w:rFonts w:hint="eastAsia" w:cs="仿宋"/>
        </w:rPr>
        <w:t>自有消纳土地面积充足时，按照《畜禽粪便无害化卫生要求（</w:t>
      </w:r>
      <w:r>
        <w:t>GB 7959-2012</w:t>
      </w:r>
      <w:r>
        <w:rPr>
          <w:rFonts w:hint="eastAsia" w:cs="仿宋"/>
        </w:rPr>
        <w:t>）》《畜禽粪便无害化处理技术规范（</w:t>
      </w:r>
      <w:r>
        <w:t>GB/T 36195-2018</w:t>
      </w:r>
      <w:r>
        <w:rPr>
          <w:rFonts w:hint="eastAsia" w:cs="仿宋"/>
        </w:rPr>
        <w:t>）》有关要求，粪污规范贮存堆沤或厌氧发酵，保障粪污堆沤时长，确保达到无害化处理利用要求后施用；个别规模养殖场（养殖户）自有消纳土地不足时，与周边种植户签订粪肥消纳协议，确保粪肥施用面积能满足粪肥消纳需要。</w:t>
      </w:r>
    </w:p>
    <w:bookmarkEnd w:id="49"/>
    <w:p>
      <w:pPr>
        <w:adjustRightInd w:val="0"/>
        <w:snapToGrid w:val="0"/>
        <w:ind w:firstLine="0" w:firstLineChars="0"/>
        <w:jc w:val="center"/>
        <w:rPr>
          <w:sz w:val="32"/>
          <w:szCs w:val="32"/>
        </w:rPr>
      </w:pPr>
      <w:r>
        <w:pict>
          <v:shape id="_x0000_i1026" o:spt="75" alt="1619161668(1)" type="#_x0000_t75" style="height:84.75pt;width:311.25pt;" filled="f" o:preferrelative="t" stroked="f" coordsize="21600,21600">
            <v:path/>
            <v:fill on="f" focussize="0,0"/>
            <v:stroke on="f" joinstyle="miter"/>
            <v:imagedata r:id="rId13" o:title=""/>
            <o:lock v:ext="edit" aspectratio="t"/>
            <w10:wrap type="none"/>
            <w10:anchorlock/>
          </v:shape>
        </w:pict>
      </w:r>
    </w:p>
    <w:p>
      <w:pPr>
        <w:pStyle w:val="5"/>
        <w:spacing w:before="190"/>
      </w:pPr>
      <w:r>
        <w:rPr>
          <w:rFonts w:hint="eastAsia" w:cs="仿宋"/>
        </w:rPr>
        <w:t>图</w:t>
      </w:r>
      <w:r>
        <w:t xml:space="preserve">4-1 </w:t>
      </w:r>
      <w:r>
        <w:rPr>
          <w:rFonts w:hint="eastAsia" w:cs="仿宋"/>
        </w:rPr>
        <w:t>养殖户推荐畜禽粪污贮存</w:t>
      </w:r>
      <w:r>
        <w:t>+</w:t>
      </w:r>
      <w:r>
        <w:rPr>
          <w:rFonts w:hint="eastAsia" w:cs="仿宋"/>
        </w:rPr>
        <w:t>就近还田模式</w:t>
      </w:r>
    </w:p>
    <w:p>
      <w:pPr>
        <w:ind w:firstLine="31680"/>
      </w:pPr>
    </w:p>
    <w:p>
      <w:pPr>
        <w:ind w:firstLine="0" w:firstLineChars="0"/>
        <w:jc w:val="center"/>
        <w:rPr>
          <w:sz w:val="32"/>
          <w:szCs w:val="32"/>
        </w:rPr>
      </w:pPr>
      <w:r>
        <w:pict>
          <v:shape id="_x0000_i1027" o:spt="75" alt="1619161235(1)" type="#_x0000_t75" style="height:70.5pt;width:332.25pt;" filled="f" o:preferrelative="t" stroked="f" coordsize="21600,21600">
            <v:path/>
            <v:fill on="f" focussize="0,0"/>
            <v:stroke on="f" joinstyle="miter"/>
            <v:imagedata r:id="rId14" o:title=""/>
            <o:lock v:ext="edit" aspectratio="t"/>
            <w10:wrap type="none"/>
            <w10:anchorlock/>
          </v:shape>
        </w:pict>
      </w:r>
    </w:p>
    <w:p>
      <w:pPr>
        <w:pStyle w:val="5"/>
        <w:spacing w:before="190"/>
      </w:pPr>
      <w:r>
        <w:rPr>
          <w:rFonts w:hint="eastAsia" w:cs="仿宋"/>
        </w:rPr>
        <w:t>图</w:t>
      </w:r>
      <w:r>
        <w:t xml:space="preserve">4-2 </w:t>
      </w:r>
      <w:r>
        <w:rPr>
          <w:rFonts w:hint="eastAsia" w:cs="仿宋"/>
        </w:rPr>
        <w:t>养殖场推荐畜禽粪污厌氧</w:t>
      </w:r>
      <w:r>
        <w:t>+</w:t>
      </w:r>
      <w:r>
        <w:rPr>
          <w:rFonts w:hint="eastAsia" w:cs="仿宋"/>
        </w:rPr>
        <w:t>就近还田模式</w:t>
      </w:r>
    </w:p>
    <w:p>
      <w:pPr>
        <w:ind w:firstLine="31680"/>
      </w:pPr>
      <w:r>
        <w:rPr>
          <w:rFonts w:hint="eastAsia" w:cs="仿宋"/>
        </w:rPr>
        <w:t>（</w:t>
      </w:r>
      <w:r>
        <w:t>2</w:t>
      </w:r>
      <w:r>
        <w:rPr>
          <w:rFonts w:hint="eastAsia" w:cs="仿宋"/>
        </w:rPr>
        <w:t>）委托第三方处理利用</w:t>
      </w:r>
    </w:p>
    <w:p>
      <w:pPr>
        <w:ind w:firstLine="31680"/>
      </w:pPr>
      <w:r>
        <w:rPr>
          <w:rFonts w:hint="eastAsia" w:cs="仿宋"/>
        </w:rPr>
        <w:t>当规模养殖场（养殖户）周边粪污消纳土地不足时，以乡镇为基本单元，规模养殖场可将固体粪便委托处理，通过与有机肥厂、专业沼气工程企业、社会化粪肥服务机构、果菜茶种植基地、种植企业或合作社等第三方签订用肥协议，确定种养两端粪肥产用合作关系。液体粪污用于规模养殖场自有土地或与周边种植户签订消纳协议，施用于附近农地。养殖户分布集中的区域，建设粪污转运中心，统一收集、统一处理利用。鼓励各地探索建立第三方粪肥服务机构集有机肥生产、配送、施用和有机食品电商等全程服务模式。</w:t>
      </w:r>
    </w:p>
    <w:p>
      <w:pPr>
        <w:ind w:firstLine="0" w:firstLineChars="0"/>
        <w:jc w:val="center"/>
        <w:rPr>
          <w:b/>
          <w:bCs/>
        </w:rPr>
      </w:pPr>
      <w:r>
        <w:rPr>
          <w:b/>
          <w:bCs/>
        </w:rPr>
        <w:pict>
          <v:shape id="_x0000_i1028" o:spt="75" alt="1620202207(1)" type="#_x0000_t75" style="height:146.25pt;width:405pt;" filled="f" o:preferrelative="t" stroked="f" coordsize="21600,21600">
            <v:path/>
            <v:fill on="f" focussize="0,0"/>
            <v:stroke on="f" joinstyle="miter"/>
            <v:imagedata r:id="rId15" o:title=""/>
            <o:lock v:ext="edit" aspectratio="t"/>
            <w10:wrap type="none"/>
            <w10:anchorlock/>
          </v:shape>
        </w:pict>
      </w:r>
    </w:p>
    <w:p>
      <w:pPr>
        <w:pStyle w:val="5"/>
        <w:spacing w:before="190"/>
      </w:pPr>
      <w:r>
        <w:rPr>
          <w:rFonts w:hint="eastAsia" w:cs="仿宋"/>
        </w:rPr>
        <w:t>图</w:t>
      </w:r>
      <w:r>
        <w:t xml:space="preserve">4-3 </w:t>
      </w:r>
      <w:r>
        <w:rPr>
          <w:rFonts w:hint="eastAsia" w:cs="仿宋"/>
        </w:rPr>
        <w:t>畜禽固体粪肥委托处理</w:t>
      </w:r>
      <w:r>
        <w:t>+</w:t>
      </w:r>
      <w:r>
        <w:rPr>
          <w:rFonts w:hint="eastAsia" w:cs="仿宋"/>
        </w:rPr>
        <w:t>液体粪肥就近还田模式</w:t>
      </w:r>
    </w:p>
    <w:p>
      <w:pPr>
        <w:pStyle w:val="4"/>
      </w:pPr>
      <w:r>
        <w:t>4.2.2</w:t>
      </w:r>
      <w:bookmarkStart w:id="51" w:name="_Hlk89874122"/>
      <w:r>
        <w:rPr>
          <w:rFonts w:hint="eastAsia" w:cs="仿宋"/>
        </w:rPr>
        <w:t>消纳土地不足区县粪污处理利用模式</w:t>
      </w:r>
      <w:bookmarkEnd w:id="51"/>
    </w:p>
    <w:p>
      <w:pPr>
        <w:ind w:firstLine="31680"/>
      </w:pPr>
      <w:bookmarkStart w:id="52" w:name="_Hlk83803719"/>
      <w:r>
        <w:rPr>
          <w:rFonts w:hint="eastAsia" w:cs="仿宋"/>
        </w:rPr>
        <w:t>铁西区、辽中区养殖总量大、消纳土地不足，应</w:t>
      </w:r>
      <w:r>
        <w:rPr>
          <w:rFonts w:hint="eastAsia" w:cs="仿宋"/>
          <w:kern w:val="0"/>
        </w:rPr>
        <w:t>依据主要环境制约因素，选择核减养殖量、提高粪肥替代化肥比例、增加有机肥外售等措施，确保养殖总量与环境承载力相匹配</w:t>
      </w:r>
      <w:bookmarkEnd w:id="52"/>
      <w:r>
        <w:rPr>
          <w:rFonts w:hint="eastAsia" w:cs="仿宋"/>
        </w:rPr>
        <w:t>。</w:t>
      </w:r>
    </w:p>
    <w:p>
      <w:pPr>
        <w:ind w:firstLine="31680"/>
        <w:rPr>
          <w:kern w:val="0"/>
        </w:rPr>
      </w:pPr>
    </w:p>
    <w:p>
      <w:pPr>
        <w:ind w:firstLine="31680"/>
        <w:rPr>
          <w:rFonts w:eastAsia="仿宋_GB2312"/>
        </w:rPr>
      </w:pPr>
      <w:r>
        <w:rPr>
          <w:rFonts w:hint="eastAsia" w:cs="仿宋"/>
        </w:rPr>
        <w:t>（</w:t>
      </w:r>
      <w:r>
        <w:t>1</w:t>
      </w:r>
      <w:r>
        <w:rPr>
          <w:rFonts w:hint="eastAsia" w:cs="仿宋"/>
        </w:rPr>
        <w:t>）规模养殖场</w:t>
      </w:r>
    </w:p>
    <w:p>
      <w:pPr>
        <w:ind w:firstLine="31680"/>
      </w:pPr>
      <w:bookmarkStart w:id="53" w:name="_Hlk83804188"/>
      <w:r>
        <w:rPr>
          <w:rFonts w:hint="eastAsia" w:cs="仿宋"/>
        </w:rPr>
        <w:t>规模养殖场周边消纳土地充足时，优先就地就近利用。当周边配套农地不足时，规模养殖场优先将液体粪肥用于周边农地消纳，固体粪肥委托第三方处理后外销。</w:t>
      </w:r>
    </w:p>
    <w:bookmarkEnd w:id="53"/>
    <w:p>
      <w:pPr>
        <w:pStyle w:val="18"/>
        <w:spacing w:before="0" w:beforeAutospacing="0" w:after="0" w:afterAutospacing="0" w:line="432" w:lineRule="atLeast"/>
        <w:ind w:firstLine="31680"/>
        <w:jc w:val="center"/>
        <w:rPr>
          <w:rFonts w:ascii="Times New Roman" w:hAnsi="Times New Roman" w:eastAsia="宋体" w:cs="Times New Roman"/>
        </w:rPr>
      </w:pPr>
      <w:r>
        <w:rPr>
          <w:rFonts w:ascii="Times New Roman" w:hAnsi="Times New Roman" w:cs="Times New Roman"/>
        </w:rPr>
        <w:pict>
          <v:shape id="_x0000_i1029" o:spt="75" alt="1619163670" type="#_x0000_t75" style="height:79.5pt;width:340.5pt;" filled="f" o:preferrelative="t" stroked="f" coordsize="21600,21600">
            <v:path/>
            <v:fill on="f" focussize="0,0"/>
            <v:stroke on="f" joinstyle="miter"/>
            <v:imagedata r:id="rId16" o:title=""/>
            <o:lock v:ext="edit" aspectratio="t"/>
            <w10:wrap type="none"/>
            <w10:anchorlock/>
          </v:shape>
        </w:pict>
      </w:r>
    </w:p>
    <w:p>
      <w:pPr>
        <w:pStyle w:val="5"/>
        <w:spacing w:before="190"/>
      </w:pPr>
      <w:r>
        <w:rPr>
          <w:rFonts w:hint="eastAsia" w:cs="仿宋"/>
        </w:rPr>
        <w:t>图</w:t>
      </w:r>
      <w:r>
        <w:t xml:space="preserve">4-4 </w:t>
      </w:r>
      <w:r>
        <w:rPr>
          <w:rFonts w:hint="eastAsia" w:cs="仿宋"/>
        </w:rPr>
        <w:t>北方地区畜禽固体粪肥委托处理</w:t>
      </w:r>
      <w:r>
        <w:t>+</w:t>
      </w:r>
      <w:r>
        <w:rPr>
          <w:rFonts w:hint="eastAsia" w:cs="仿宋"/>
        </w:rPr>
        <w:t>液体粪肥就近还田模式</w:t>
      </w:r>
    </w:p>
    <w:p>
      <w:pPr>
        <w:ind w:firstLine="31680"/>
        <w:rPr>
          <w:rFonts w:eastAsia="仿宋_GB2312"/>
        </w:rPr>
      </w:pPr>
      <w:r>
        <w:rPr>
          <w:rFonts w:hint="eastAsia" w:cs="仿宋"/>
        </w:rPr>
        <w:t>（</w:t>
      </w:r>
      <w:r>
        <w:t>2</w:t>
      </w:r>
      <w:r>
        <w:rPr>
          <w:rFonts w:hint="eastAsia" w:cs="仿宋"/>
        </w:rPr>
        <w:t>）畜禽养殖户</w:t>
      </w:r>
    </w:p>
    <w:p>
      <w:pPr>
        <w:ind w:firstLine="31680"/>
      </w:pPr>
      <w:bookmarkStart w:id="54" w:name="_Hlk89875420"/>
      <w:r>
        <w:rPr>
          <w:rFonts w:hint="eastAsia" w:cs="仿宋"/>
        </w:rPr>
        <w:t>县、乡级人民政府以乡镇或村为单元，实施统一收集和处理利用，固体粪便可生产有机肥外销，液体粪污堆肥后就近农用。</w:t>
      </w:r>
      <w:bookmarkEnd w:id="54"/>
    </w:p>
    <w:p>
      <w:pPr>
        <w:pStyle w:val="4"/>
      </w:pPr>
      <w:r>
        <w:t>4.2.3</w:t>
      </w:r>
      <w:bookmarkStart w:id="55" w:name="_Hlk85715649"/>
      <w:r>
        <w:rPr>
          <w:rFonts w:hint="eastAsia" w:cs="仿宋"/>
        </w:rPr>
        <w:t>畜禽粪污合理还田利用</w:t>
      </w:r>
    </w:p>
    <w:bookmarkEnd w:id="55"/>
    <w:p>
      <w:pPr>
        <w:ind w:firstLine="31680"/>
      </w:pPr>
      <w:r>
        <w:rPr>
          <w:rFonts w:hint="eastAsia" w:cs="仿宋"/>
        </w:rPr>
        <w:t>经无害化处理后进行还田综合利用的堆肥和沼气发酵等还田产物应符合《粪便无害化卫生标准》。粪肥用量不能超过作物当年生长所需的养分量；在确定粪肥的最佳施用量时，应对土壤肥力和粪肥肥效进行测试评价，并符合当地环境容量的要求；同时应有一倍以上的土地用于轮作施肥，不得长期施肥于同一土地。鼓励在畜禽养殖场与还田利用的农田之间应建立有效的粪肥输送网络。通过车载或管道形式将处理置后的粪肥输送至农田，要加强管理，严格控制污水输送沿途的弃、撒和跑、冒、滴、漏。</w:t>
      </w:r>
    </w:p>
    <w:p>
      <w:pPr>
        <w:pStyle w:val="4"/>
      </w:pPr>
      <w:r>
        <w:t>4.2.4</w:t>
      </w:r>
      <w:r>
        <w:rPr>
          <w:rFonts w:hint="eastAsia" w:cs="仿宋"/>
        </w:rPr>
        <w:t>培育社会化服务组织</w:t>
      </w:r>
    </w:p>
    <w:p>
      <w:pPr>
        <w:ind w:firstLine="31680"/>
      </w:pPr>
      <w:r>
        <w:rPr>
          <w:rFonts w:hint="eastAsia" w:cs="仿宋"/>
        </w:rPr>
        <w:t>各区（县、市）应坚持建主体多元化、服务专业化、运行市场化的方向，加快构建以公益性服务与经营性服务相结合、专项服务与综合服务相协调的新型农业社会化服务体系，通过项目支持、资金补助、用地协调等政策措施积极引导和扶持农业社会化服务组织的发展。</w:t>
      </w:r>
    </w:p>
    <w:p>
      <w:pPr>
        <w:ind w:firstLine="0" w:firstLineChars="0"/>
        <w:rPr>
          <w:rFonts w:eastAsia="方正仿宋简体"/>
        </w:rPr>
      </w:pPr>
      <w:r>
        <w:rPr>
          <w:rFonts w:hint="eastAsia" w:cs="仿宋"/>
        </w:rPr>
        <w:t>探索建立由第三方服务机构开展畜禽养殖废弃物的统一收集、运输、集中处置或技术运维模式。充分发挥乡镇、村级基层政府的监督力量，将养殖散户逐步纳入基层网格化管理，基本实现畜禽养殖污染防治全覆盖。</w:t>
      </w:r>
    </w:p>
    <w:bookmarkEnd w:id="50"/>
    <w:p>
      <w:pPr>
        <w:pStyle w:val="3"/>
      </w:pPr>
      <w:bookmarkStart w:id="56" w:name="_Toc90558539"/>
      <w:r>
        <w:t>4.3</w:t>
      </w:r>
      <w:r>
        <w:rPr>
          <w:rFonts w:hint="eastAsia" w:cs="仿宋"/>
        </w:rPr>
        <w:t>完善粪污处理利用设施</w:t>
      </w:r>
      <w:bookmarkEnd w:id="56"/>
    </w:p>
    <w:p>
      <w:pPr>
        <w:pStyle w:val="4"/>
      </w:pPr>
      <w:bookmarkStart w:id="57" w:name="_Toc25067"/>
      <w:bookmarkStart w:id="58" w:name="_Toc20325"/>
      <w:bookmarkStart w:id="59" w:name="_Hlk79405666"/>
      <w:r>
        <w:t>4.3.1</w:t>
      </w:r>
      <w:bookmarkEnd w:id="57"/>
      <w:bookmarkEnd w:id="58"/>
      <w:r>
        <w:rPr>
          <w:rFonts w:hint="eastAsia" w:cs="仿宋"/>
        </w:rPr>
        <w:t>畜禽规模养殖场清洁生产设施建设</w:t>
      </w:r>
    </w:p>
    <w:p>
      <w:pPr>
        <w:ind w:firstLine="31680"/>
      </w:pPr>
      <w:r>
        <w:rPr>
          <w:rFonts w:hint="eastAsia" w:cs="仿宋"/>
        </w:rPr>
        <w:t>畜禽养殖场环境质量及卫生控制应符合</w:t>
      </w:r>
      <w:r>
        <w:t>NY/T1167</w:t>
      </w:r>
      <w:r>
        <w:rPr>
          <w:rFonts w:hint="eastAsia" w:cs="仿宋"/>
        </w:rPr>
        <w:t>的有关要求。畜禽养殖业污染治理应从源头控制，支持现有养殖场（户）圈舍及粪污贮存设施进行雨污分流改造，新建养殖场执行雨污分离。支持规模场更新设施设备和标准化改造栏舍，配备自动喂料、自动饮水、自动清粪等设施装备。优化饲料配方、提高饲养技术、管理水平。改善畜舍结构和通风供暖工艺，养殖栏舍配备通风排气装置、气体收集处理后排放等臭气和温室气体减控设施等。</w:t>
      </w:r>
    </w:p>
    <w:p>
      <w:pPr>
        <w:pStyle w:val="4"/>
      </w:pPr>
      <w:r>
        <w:t>4.3.2</w:t>
      </w:r>
      <w:r>
        <w:rPr>
          <w:rFonts w:hint="eastAsia" w:cs="仿宋"/>
        </w:rPr>
        <w:t>畜禽规模养殖场粪污处理利用设施建设</w:t>
      </w:r>
    </w:p>
    <w:p>
      <w:pPr>
        <w:ind w:firstLine="31680"/>
      </w:pPr>
      <w:r>
        <w:rPr>
          <w:rFonts w:hint="eastAsia" w:cs="仿宋"/>
        </w:rPr>
        <w:t>按照《畜禽规模养殖污染防治条例》，</w:t>
      </w:r>
      <w:bookmarkStart w:id="60" w:name="_Hlk83804681"/>
      <w:r>
        <w:rPr>
          <w:rFonts w:hint="eastAsia" w:cs="仿宋"/>
        </w:rPr>
        <w:t>对畜禽养殖场的污染防治设施的建设、验收和运行实行</w:t>
      </w:r>
      <w:r>
        <w:t>“</w:t>
      </w:r>
      <w:r>
        <w:rPr>
          <w:rFonts w:hint="eastAsia" w:cs="仿宋"/>
        </w:rPr>
        <w:t>三同时</w:t>
      </w:r>
      <w:r>
        <w:t>”</w:t>
      </w:r>
      <w:r>
        <w:rPr>
          <w:rFonts w:hint="eastAsia" w:cs="仿宋"/>
        </w:rPr>
        <w:t>制度。</w:t>
      </w:r>
      <w:bookmarkEnd w:id="60"/>
    </w:p>
    <w:p>
      <w:pPr>
        <w:ind w:firstLine="31680"/>
      </w:pPr>
      <w:r>
        <w:rPr>
          <w:rFonts w:hint="eastAsia" w:cs="仿宋"/>
        </w:rPr>
        <w:t>采用生产有机肥方式的养殖场，有机肥加工设施建设按具备相应规模工程设计资质单位的设计方案执行，产品应达到《有机肥料》（</w:t>
      </w:r>
      <w:r>
        <w:t>NY 525</w:t>
      </w:r>
      <w:r>
        <w:rPr>
          <w:rFonts w:hint="eastAsia" w:cs="仿宋"/>
        </w:rPr>
        <w:t>）、《有机</w:t>
      </w:r>
      <w:r>
        <w:t>-</w:t>
      </w:r>
      <w:r>
        <w:rPr>
          <w:rFonts w:hint="eastAsia" w:cs="仿宋"/>
        </w:rPr>
        <w:t>无机复混肥料》（</w:t>
      </w:r>
      <w:r>
        <w:t>GB 18877</w:t>
      </w:r>
      <w:r>
        <w:rPr>
          <w:rFonts w:hint="eastAsia" w:cs="仿宋"/>
        </w:rPr>
        <w:t>）等要求后作为商品有机肥出售。采用沼气发酵的养殖场，建设厌氧消化反应器、沼气收集和处置系统、沼液沼渣分离和贮存系统，实现资源化产品的安全处置、妥善贮存和综合利用，做好冬季保温。采用堆肥发酵工艺的养殖场，应建设储存、发酵等场地（至少可暂存</w:t>
      </w:r>
      <w:r>
        <w:t>180</w:t>
      </w:r>
      <w:r>
        <w:rPr>
          <w:rFonts w:hint="eastAsia" w:cs="仿宋"/>
        </w:rPr>
        <w:t>天粪污），配备翻抛设备。委托第三方处理的养殖场，应与第三方签订粪污处理与利用合同。</w:t>
      </w:r>
    </w:p>
    <w:p>
      <w:pPr>
        <w:pStyle w:val="4"/>
      </w:pPr>
      <w:r>
        <w:t>4.3.3</w:t>
      </w:r>
      <w:r>
        <w:rPr>
          <w:rFonts w:hint="eastAsia" w:cs="仿宋"/>
        </w:rPr>
        <w:t>规模以下养殖户清洁生产设施建设</w:t>
      </w:r>
    </w:p>
    <w:p>
      <w:pPr>
        <w:ind w:firstLine="31680"/>
      </w:pPr>
      <w:r>
        <w:rPr>
          <w:rFonts w:hint="eastAsia" w:cs="仿宋"/>
        </w:rPr>
        <w:t>新建畜禽养殖圈舍及粪污贮存设施应进行雨污分流。推荐采用干清粪、机械清粪工艺，现有养殖户逐步淘汰全程水冲粪清粪方式，实现废水源头减量。按照畜禽养殖污染治理疏堵结合、种养平衡、资源利用的原则，通过减少排污量、废弃物资源化利用等方式，大力推进养殖户污染治理工作。</w:t>
      </w:r>
    </w:p>
    <w:p>
      <w:pPr>
        <w:pStyle w:val="4"/>
      </w:pPr>
      <w:r>
        <w:t>4.3.4</w:t>
      </w:r>
      <w:r>
        <w:rPr>
          <w:rFonts w:hint="eastAsia" w:cs="仿宋"/>
        </w:rPr>
        <w:t>畜禽养殖户粪污处理利用设施建设</w:t>
      </w:r>
    </w:p>
    <w:p>
      <w:pPr>
        <w:ind w:firstLine="31680"/>
      </w:pPr>
      <w:bookmarkStart w:id="61" w:name="_Hlk83805257"/>
      <w:r>
        <w:rPr>
          <w:rFonts w:hint="eastAsia" w:cs="仿宋"/>
        </w:rPr>
        <w:t>按照“谁污染、谁治理”原则，</w:t>
      </w:r>
      <w:bookmarkStart w:id="62" w:name="_Hlk90561194"/>
      <w:r>
        <w:rPr>
          <w:rFonts w:hint="eastAsia" w:cs="仿宋"/>
        </w:rPr>
        <w:t>采用畜禽粪污资源化利用模式的畜禽养殖户，应配套建设畜禽粪污资源化利用相关设施，做到防渗、防雨、防溢流，不得对周边环境造成污染</w:t>
      </w:r>
      <w:bookmarkEnd w:id="61"/>
      <w:r>
        <w:rPr>
          <w:rFonts w:hint="eastAsia" w:cs="仿宋"/>
        </w:rPr>
        <w:t>。</w:t>
      </w:r>
      <w:bookmarkEnd w:id="62"/>
      <w:r>
        <w:rPr>
          <w:rFonts w:hint="eastAsia" w:cs="仿宋"/>
        </w:rPr>
        <w:t>建设标准参照</w:t>
      </w:r>
      <w:bookmarkStart w:id="63" w:name="_Hlk90552990"/>
      <w:bookmarkStart w:id="64" w:name="_Hlk76371410"/>
      <w:r>
        <w:rPr>
          <w:rFonts w:hint="eastAsia" w:cs="仿宋"/>
        </w:rPr>
        <w:t>《辽宁省畜禽养殖粪便贮存设施建设标准（试行）》</w:t>
      </w:r>
      <w:bookmarkEnd w:id="63"/>
      <w:r>
        <w:rPr>
          <w:rFonts w:hint="eastAsia" w:cs="仿宋"/>
        </w:rPr>
        <w:t>、《畜禽养殖污水贮存设施设计要求》或按具备相应设计规模工程设计资质单位的设计方案执行</w:t>
      </w:r>
      <w:bookmarkEnd w:id="64"/>
      <w:r>
        <w:rPr>
          <w:rFonts w:hint="eastAsia" w:cs="仿宋"/>
        </w:rPr>
        <w:t>。</w:t>
      </w:r>
    </w:p>
    <w:p>
      <w:pPr>
        <w:pStyle w:val="4"/>
      </w:pPr>
      <w:r>
        <w:t>4.3.5</w:t>
      </w:r>
      <w:r>
        <w:rPr>
          <w:rFonts w:hint="eastAsia" w:cs="仿宋"/>
        </w:rPr>
        <w:t>田间配套设施建设</w:t>
      </w:r>
    </w:p>
    <w:p>
      <w:pPr>
        <w:ind w:firstLine="31680"/>
      </w:pPr>
      <w:r>
        <w:rPr>
          <w:rFonts w:hint="eastAsia" w:cs="仿宋"/>
        </w:rPr>
        <w:t>推进田间配套设施建设工作，选取沈北新区、辽中区、新民市、康平县、法库县部分试点村，建设田间粪污暂存设施，根据试点村粪污产量、经济情况等，</w:t>
      </w:r>
      <w:bookmarkStart w:id="65" w:name="_Hlk78388443"/>
      <w:r>
        <w:rPr>
          <w:rFonts w:hint="eastAsia" w:cs="仿宋"/>
        </w:rPr>
        <w:t>合理选择粪肥还田输送管道、配置运输罐车、固态肥抛撒机、液态粪肥撒施机、沼液沼渣抽排机、远距离施肥泵粪肥机械化还田作业设施。施肥过程应采用深施、埋施等减排措施。</w:t>
      </w:r>
    </w:p>
    <w:bookmarkEnd w:id="59"/>
    <w:bookmarkEnd w:id="65"/>
    <w:p>
      <w:pPr>
        <w:pStyle w:val="3"/>
      </w:pPr>
      <w:bookmarkStart w:id="66" w:name="_Toc90558540"/>
      <w:r>
        <w:t xml:space="preserve">4.4 </w:t>
      </w:r>
      <w:r>
        <w:rPr>
          <w:rFonts w:hint="eastAsia" w:cs="仿宋"/>
        </w:rPr>
        <w:t>完善台账管理制度</w:t>
      </w:r>
      <w:bookmarkEnd w:id="66"/>
    </w:p>
    <w:p>
      <w:pPr>
        <w:pStyle w:val="4"/>
      </w:pPr>
      <w:r>
        <w:t>4.4.1</w:t>
      </w:r>
      <w:bookmarkStart w:id="67" w:name="_Hlk79405403"/>
      <w:r>
        <w:rPr>
          <w:rFonts w:hint="eastAsia" w:cs="仿宋"/>
        </w:rPr>
        <w:t>加强宣传服务，逐步推进粪肥利用台账制度实施</w:t>
      </w:r>
    </w:p>
    <w:p>
      <w:pPr>
        <w:ind w:firstLine="31680"/>
      </w:pPr>
      <w:bookmarkStart w:id="68" w:name="_Hlk83805332"/>
      <w:r>
        <w:rPr>
          <w:rFonts w:hint="eastAsia" w:cs="仿宋"/>
        </w:rPr>
        <w:t>区（县、市）</w:t>
      </w:r>
      <w:bookmarkEnd w:id="68"/>
      <w:r>
        <w:rPr>
          <w:rFonts w:hint="eastAsia" w:cs="仿宋"/>
        </w:rPr>
        <w:t>要加强相关法律法规以及粪污资源化利用有关政策要求的宣传，</w:t>
      </w:r>
      <w:bookmarkStart w:id="69" w:name="_Hlk89874667"/>
      <w:r>
        <w:rPr>
          <w:rFonts w:hint="eastAsia" w:cs="仿宋"/>
        </w:rPr>
        <w:t>要让规模养殖场（畜禽养殖户）知悉主体责任，树立粪肥台账记录的自觉性</w:t>
      </w:r>
      <w:bookmarkEnd w:id="69"/>
      <w:r>
        <w:rPr>
          <w:rFonts w:hint="eastAsia" w:cs="仿宋"/>
        </w:rPr>
        <w:t>，提高填报信息的准确性、及时性。</w:t>
      </w:r>
      <w:bookmarkStart w:id="70" w:name="_Hlk89874684"/>
      <w:r>
        <w:rPr>
          <w:rFonts w:hint="eastAsia" w:cs="仿宋"/>
        </w:rPr>
        <w:t>以大型规模养殖场、规模养殖场为重点，大力推进粪肥利用台账制度，鼓励有条件的畜禽养殖场户填报，逐步完善粪肥利用台帐。</w:t>
      </w:r>
      <w:bookmarkEnd w:id="70"/>
    </w:p>
    <w:p>
      <w:pPr>
        <w:pStyle w:val="4"/>
      </w:pPr>
      <w:r>
        <w:t>4.4.2</w:t>
      </w:r>
      <w:r>
        <w:rPr>
          <w:rFonts w:hint="eastAsia" w:cs="仿宋"/>
        </w:rPr>
        <w:t>落实责任，做好台账记录</w:t>
      </w:r>
    </w:p>
    <w:p>
      <w:pPr>
        <w:ind w:firstLine="31680"/>
      </w:pPr>
      <w:bookmarkStart w:id="71" w:name="_Hlk89874702"/>
      <w:r>
        <w:rPr>
          <w:rFonts w:hint="eastAsia" w:cs="仿宋"/>
        </w:rPr>
        <w:t>乡镇可参照省下发的台帐格式，按照适用、方便的原则，探索建立符合养殖场养殖畜禽种类实际以及粪污处理利用现状的台账格式。养殖场是台帐填报主体，需按照要求记录粪污资源化利用的管理台账，</w:t>
      </w:r>
      <w:bookmarkStart w:id="72" w:name="_Hlk83805514"/>
      <w:r>
        <w:rPr>
          <w:rFonts w:hint="eastAsia" w:cs="仿宋"/>
        </w:rPr>
        <w:t>台账应至少保留</w:t>
      </w:r>
      <w:r>
        <w:t>2</w:t>
      </w:r>
      <w:r>
        <w:rPr>
          <w:rFonts w:hint="eastAsia" w:cs="仿宋"/>
        </w:rPr>
        <w:t>年以上</w:t>
      </w:r>
      <w:bookmarkEnd w:id="72"/>
      <w:r>
        <w:rPr>
          <w:rFonts w:hint="eastAsia" w:cs="仿宋"/>
        </w:rPr>
        <w:t>。</w:t>
      </w:r>
      <w:bookmarkEnd w:id="71"/>
    </w:p>
    <w:bookmarkEnd w:id="67"/>
    <w:p>
      <w:pPr>
        <w:pStyle w:val="3"/>
      </w:pPr>
      <w:bookmarkStart w:id="73" w:name="_Toc90558541"/>
      <w:r>
        <w:t>4.5</w:t>
      </w:r>
      <w:r>
        <w:rPr>
          <w:rFonts w:hint="eastAsia" w:cs="仿宋"/>
        </w:rPr>
        <w:t>强化环境监管</w:t>
      </w:r>
      <w:bookmarkEnd w:id="73"/>
    </w:p>
    <w:p>
      <w:pPr>
        <w:pStyle w:val="4"/>
      </w:pPr>
      <w:r>
        <w:t>4.5.1</w:t>
      </w:r>
      <w:r>
        <w:rPr>
          <w:rFonts w:hint="eastAsia" w:cs="仿宋"/>
        </w:rPr>
        <w:t>严格规模化畜禽养殖场环境准入退出</w:t>
      </w:r>
    </w:p>
    <w:p>
      <w:pPr>
        <w:ind w:firstLine="31680"/>
      </w:pPr>
      <w:r>
        <w:rPr>
          <w:rFonts w:hint="eastAsia" w:cs="仿宋"/>
        </w:rPr>
        <w:t>各县（市、区）畜牧业发展规划应当统筹考虑环境承载能力及畜禽养殖污染防治要求，并依法开展畜牧业发展规划的环境影响评价，确保畜禽养殖产业发展符合区域环境功能定位和环境保护要求。新建养殖场（户）依照法律法规要求依法进行环境影响评价或备案。审批部门严格审批，对选址、工艺、污染防治措施等不合规的项目不予审批或备案。依据《排污许可证申请与核发技术规范</w:t>
      </w:r>
      <w:r>
        <w:t xml:space="preserve"> </w:t>
      </w:r>
      <w:r>
        <w:rPr>
          <w:rFonts w:hint="eastAsia" w:cs="仿宋"/>
        </w:rPr>
        <w:t>畜禽养殖行业》，对符合条件的企业核发排污许可证。</w:t>
      </w:r>
      <w:r>
        <w:t xml:space="preserve"> </w:t>
      </w:r>
    </w:p>
    <w:p>
      <w:pPr>
        <w:pStyle w:val="4"/>
      </w:pPr>
      <w:r>
        <w:t>4.5.2</w:t>
      </w:r>
      <w:bookmarkStart w:id="74" w:name="_Hlk83805614"/>
      <w:r>
        <w:rPr>
          <w:rFonts w:hint="eastAsia" w:cs="仿宋"/>
        </w:rPr>
        <w:t>加强畜禽养殖业环境监督执法</w:t>
      </w:r>
      <w:bookmarkEnd w:id="74"/>
    </w:p>
    <w:p>
      <w:pPr>
        <w:ind w:firstLine="31680"/>
      </w:pPr>
      <w:r>
        <w:rPr>
          <w:rFonts w:hint="eastAsia" w:cs="仿宋"/>
        </w:rPr>
        <w:t>各区（县、市）政府，结合本地实际，编制本地区《畜禽养殖污染防治规划》，细化任务分工，提出绩效考核措施要求，统筹区域畜禽养殖污染防治工作。生态环境部门要督促对规模养殖场不开展环境评价、不执行“三同时”制度、无证排污、不按证排污、污染防治设置配套不到位、粪污未经无害化处理直排外环境等违法行为，建立问题清单和责任清单，明确整改目标和整改时限，不搞简单的关停拆除</w:t>
      </w:r>
      <w:r>
        <w:t>“</w:t>
      </w:r>
      <w:r>
        <w:rPr>
          <w:rFonts w:hint="eastAsia" w:cs="仿宋"/>
        </w:rPr>
        <w:t>一刀切</w:t>
      </w:r>
      <w:r>
        <w:t>”</w:t>
      </w:r>
      <w:r>
        <w:rPr>
          <w:rFonts w:hint="eastAsia" w:cs="仿宋"/>
        </w:rPr>
        <w:t>，超过整改时限，依法责令停止生产或使用。畅通</w:t>
      </w:r>
      <w:r>
        <w:t>12369</w:t>
      </w:r>
      <w:r>
        <w:rPr>
          <w:rFonts w:hint="eastAsia" w:cs="仿宋"/>
        </w:rPr>
        <w:t>环境信访举报途径，及时查处环境违法行为。</w:t>
      </w:r>
    </w:p>
    <w:p>
      <w:pPr>
        <w:pStyle w:val="4"/>
      </w:pPr>
      <w:r>
        <w:t>4.5.3</w:t>
      </w:r>
      <w:r>
        <w:rPr>
          <w:rFonts w:hint="eastAsia" w:cs="仿宋"/>
        </w:rPr>
        <w:t>落实养殖场户主体责任</w:t>
      </w:r>
    </w:p>
    <w:p>
      <w:pPr>
        <w:ind w:firstLine="31680"/>
      </w:pPr>
      <w:r>
        <w:rPr>
          <w:rFonts w:hint="eastAsia" w:cs="仿宋"/>
        </w:rPr>
        <w:t>各区（县、市）生态环境、农业农村部门要加强宣传引导，督促规模养殖场（畜禽养殖户）落实主体责任。规模养殖场投入使用前，建设完成相应的污水与雨水分流设施，畜禽粪便、污水的贮存处理设施等综合利用和畜禽尸体无害化处理设施。粪污采用还田利用的应符合相关标准，设有排放口的应处理达标后排放并进行自主监测。到</w:t>
      </w:r>
      <w:r>
        <w:t>2025</w:t>
      </w:r>
      <w:r>
        <w:rPr>
          <w:rFonts w:hint="eastAsia" w:cs="仿宋"/>
        </w:rPr>
        <w:t>年，达标排放的畜禽规模养殖场自主监测覆盖率达到</w:t>
      </w:r>
      <w:r>
        <w:t>100%</w:t>
      </w:r>
      <w:r>
        <w:rPr>
          <w:rFonts w:hint="eastAsia" w:cs="仿宋"/>
        </w:rPr>
        <w:t>。</w:t>
      </w:r>
    </w:p>
    <w:p>
      <w:pPr>
        <w:pStyle w:val="4"/>
      </w:pPr>
      <w:r>
        <w:t>4.5.4</w:t>
      </w:r>
      <w:bookmarkStart w:id="75" w:name="_Hlk83805726"/>
      <w:r>
        <w:rPr>
          <w:rFonts w:hint="eastAsia" w:cs="仿宋"/>
        </w:rPr>
        <w:t>提升畜禽养殖环境管理智慧水平</w:t>
      </w:r>
    </w:p>
    <w:bookmarkEnd w:id="75"/>
    <w:p>
      <w:pPr>
        <w:ind w:firstLine="31680"/>
      </w:pPr>
      <w:r>
        <w:rPr>
          <w:rFonts w:hint="eastAsia" w:cs="仿宋"/>
        </w:rPr>
        <w:t>依靠辽宁省畜禽养殖环境信息统计系统、沈阳市智慧环保平台，完善沈阳市畜禽养殖环境管理信息系统。借用互联网、物联网、大数据技术，探索养殖企业管理数据与行政管理平台的数字化对接，动态掌握沈阳市规模养殖场、辖区养殖规模、废弃物综合利用、污染防治设施建设等情况，实现畜禽养殖业数字化和智能化</w:t>
      </w:r>
      <w:bookmarkStart w:id="76" w:name="_Hlk83805789"/>
      <w:r>
        <w:rPr>
          <w:rFonts w:hint="eastAsia" w:cs="仿宋"/>
        </w:rPr>
        <w:t>，加强粪污处理监管，推进沈阳市规模养殖场智慧管控</w:t>
      </w:r>
      <w:bookmarkEnd w:id="76"/>
      <w:r>
        <w:rPr>
          <w:rFonts w:hint="eastAsia" w:cs="仿宋"/>
        </w:rPr>
        <w:t>。各（区、县）市政府要推进重点养殖场及重要配套设施安装在线监控系统，并接入地方行政监督综合管理平台。</w:t>
      </w:r>
    </w:p>
    <w:p>
      <w:pPr>
        <w:pStyle w:val="2"/>
      </w:pPr>
      <w:bookmarkStart w:id="77" w:name="_Toc90558542"/>
      <w:r>
        <w:t>5</w:t>
      </w:r>
      <w:r>
        <w:rPr>
          <w:rFonts w:hint="eastAsia" w:cs="仿宋"/>
        </w:rPr>
        <w:t>、重点工程</w:t>
      </w:r>
      <w:bookmarkEnd w:id="77"/>
    </w:p>
    <w:p>
      <w:pPr>
        <w:ind w:firstLine="31680"/>
      </w:pPr>
      <w:bookmarkStart w:id="78" w:name="_Hlk83805964"/>
      <w:r>
        <w:rPr>
          <w:rFonts w:hint="eastAsia" w:cs="仿宋"/>
        </w:rPr>
        <w:t>为实现“十四五”期间，沈阳市畜禽养殖污染防治目标，开展规模养殖场畜禽粪污处理利用设施提升工程，畜禽粪污转运及集中处理中心建设工程、田间配套设施建设工程，提升沈阳市畜禽粪污收集、处理、利用效率。开展病死畜禽无害化设施建设工程，确保病死畜禽得要有效无害化处理。完善监管体系建设工程，提升畜禽养殖污染防治监管能力。</w:t>
      </w:r>
    </w:p>
    <w:bookmarkEnd w:id="78"/>
    <w:p>
      <w:pPr>
        <w:pStyle w:val="5"/>
        <w:spacing w:before="190"/>
      </w:pPr>
      <w:r>
        <w:rPr>
          <w:rFonts w:hint="eastAsia" w:cs="仿宋"/>
        </w:rPr>
        <w:t>表</w:t>
      </w:r>
      <w:r>
        <w:t xml:space="preserve">5-1 </w:t>
      </w:r>
      <w:r>
        <w:rPr>
          <w:rFonts w:hint="eastAsia" w:cs="仿宋"/>
        </w:rPr>
        <w:t>重点工程</w:t>
      </w:r>
    </w:p>
    <w:tbl>
      <w:tblPr>
        <w:tblStyle w:val="20"/>
        <w:tblW w:w="0" w:type="auto"/>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6"/>
        <w:gridCol w:w="4096"/>
        <w:gridCol w:w="1282"/>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Align w:val="center"/>
          </w:tcPr>
          <w:p>
            <w:pPr>
              <w:spacing w:line="240" w:lineRule="auto"/>
              <w:ind w:firstLine="0" w:firstLineChars="0"/>
              <w:jc w:val="center"/>
              <w:rPr>
                <w:b/>
                <w:bCs/>
                <w:kern w:val="0"/>
                <w:sz w:val="24"/>
                <w:szCs w:val="24"/>
              </w:rPr>
            </w:pPr>
            <w:bookmarkStart w:id="79" w:name="_Hlk82787702"/>
            <w:r>
              <w:rPr>
                <w:rFonts w:hint="eastAsia" w:cs="仿宋"/>
                <w:b/>
                <w:bCs/>
                <w:kern w:val="0"/>
                <w:sz w:val="24"/>
                <w:szCs w:val="24"/>
              </w:rPr>
              <w:t>项目类型</w:t>
            </w:r>
          </w:p>
        </w:tc>
        <w:tc>
          <w:tcPr>
            <w:tcW w:w="4096" w:type="dxa"/>
            <w:vAlign w:val="center"/>
          </w:tcPr>
          <w:p>
            <w:pPr>
              <w:spacing w:line="240" w:lineRule="auto"/>
              <w:ind w:firstLine="0" w:firstLineChars="0"/>
              <w:jc w:val="center"/>
              <w:rPr>
                <w:b/>
                <w:bCs/>
                <w:kern w:val="0"/>
                <w:sz w:val="24"/>
                <w:szCs w:val="24"/>
              </w:rPr>
            </w:pPr>
            <w:r>
              <w:rPr>
                <w:rFonts w:hint="eastAsia" w:cs="仿宋"/>
                <w:b/>
                <w:bCs/>
                <w:kern w:val="0"/>
                <w:sz w:val="24"/>
                <w:szCs w:val="24"/>
              </w:rPr>
              <w:t>工程名称</w:t>
            </w:r>
          </w:p>
        </w:tc>
        <w:tc>
          <w:tcPr>
            <w:tcW w:w="1282" w:type="dxa"/>
            <w:vAlign w:val="center"/>
          </w:tcPr>
          <w:p>
            <w:pPr>
              <w:spacing w:line="240" w:lineRule="auto"/>
              <w:ind w:firstLine="0" w:firstLineChars="0"/>
              <w:jc w:val="center"/>
              <w:rPr>
                <w:b/>
                <w:bCs/>
                <w:kern w:val="0"/>
                <w:sz w:val="24"/>
                <w:szCs w:val="24"/>
              </w:rPr>
            </w:pPr>
            <w:r>
              <w:rPr>
                <w:rFonts w:hint="eastAsia" w:cs="仿宋"/>
                <w:b/>
                <w:bCs/>
                <w:kern w:val="0"/>
                <w:sz w:val="24"/>
                <w:szCs w:val="24"/>
              </w:rPr>
              <w:t>责任区县</w:t>
            </w:r>
          </w:p>
        </w:tc>
        <w:tc>
          <w:tcPr>
            <w:tcW w:w="1212" w:type="dxa"/>
            <w:vAlign w:val="center"/>
          </w:tcPr>
          <w:p>
            <w:pPr>
              <w:spacing w:line="240" w:lineRule="auto"/>
              <w:ind w:firstLine="0" w:firstLineChars="0"/>
              <w:jc w:val="center"/>
              <w:rPr>
                <w:b/>
                <w:bCs/>
                <w:kern w:val="0"/>
                <w:sz w:val="24"/>
                <w:szCs w:val="24"/>
              </w:rPr>
            </w:pPr>
            <w:r>
              <w:rPr>
                <w:rFonts w:hint="eastAsia" w:cs="仿宋"/>
                <w:b/>
                <w:bCs/>
                <w:kern w:val="0"/>
                <w:sz w:val="24"/>
                <w:szCs w:val="24"/>
              </w:rPr>
              <w:t>完成时限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restart"/>
            <w:vAlign w:val="center"/>
          </w:tcPr>
          <w:p>
            <w:pPr>
              <w:spacing w:line="240" w:lineRule="auto"/>
              <w:ind w:firstLine="0" w:firstLineChars="0"/>
              <w:jc w:val="center"/>
              <w:rPr>
                <w:kern w:val="0"/>
                <w:sz w:val="24"/>
                <w:szCs w:val="24"/>
              </w:rPr>
            </w:pPr>
            <w:r>
              <w:rPr>
                <w:rFonts w:hint="eastAsia" w:cs="仿宋"/>
                <w:kern w:val="0"/>
                <w:sz w:val="24"/>
                <w:szCs w:val="24"/>
              </w:rPr>
              <w:t>养殖场（户）畜禽粪污处理利用设施提升工程</w:t>
            </w: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新民市</w:t>
            </w:r>
            <w:r>
              <w:rPr>
                <w:kern w:val="0"/>
                <w:sz w:val="24"/>
                <w:szCs w:val="24"/>
              </w:rPr>
              <w:t>13</w:t>
            </w:r>
            <w:r>
              <w:rPr>
                <w:rFonts w:hint="eastAsia" w:cs="仿宋"/>
                <w:kern w:val="0"/>
                <w:sz w:val="24"/>
                <w:szCs w:val="24"/>
              </w:rPr>
              <w:t>家规模养殖场设施升级改造工程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新民市</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辽中区辽寨牧村养殖基地粪污集中储存设施改造工程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辽中区</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restart"/>
            <w:vAlign w:val="center"/>
          </w:tcPr>
          <w:p>
            <w:pPr>
              <w:spacing w:line="240" w:lineRule="auto"/>
              <w:ind w:firstLine="0" w:firstLineChars="0"/>
              <w:jc w:val="center"/>
              <w:rPr>
                <w:kern w:val="0"/>
                <w:sz w:val="24"/>
                <w:szCs w:val="24"/>
              </w:rPr>
            </w:pPr>
            <w:r>
              <w:rPr>
                <w:rFonts w:hint="eastAsia" w:cs="仿宋"/>
                <w:kern w:val="0"/>
                <w:sz w:val="24"/>
                <w:szCs w:val="24"/>
              </w:rPr>
              <w:t>畜禽粪污转运及集中处理中心建设工程</w:t>
            </w: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沈北新区畜禽粪污集中收集点项目</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沈北新区</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辽中区有机肥厂及粪污处理中心项目</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辽中区</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新民市畜禽粪污处理中心项目</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新民市</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康平县畜禽粪污资源化利用项目</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康平县</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法库县畜禽粪污综合利用项目</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法库县</w:t>
            </w:r>
          </w:p>
        </w:tc>
        <w:tc>
          <w:tcPr>
            <w:tcW w:w="1212" w:type="dxa"/>
            <w:vAlign w:val="center"/>
          </w:tcPr>
          <w:p>
            <w:pPr>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restart"/>
            <w:vAlign w:val="center"/>
          </w:tcPr>
          <w:p>
            <w:pPr>
              <w:spacing w:line="240" w:lineRule="auto"/>
              <w:ind w:firstLine="0" w:firstLineChars="0"/>
              <w:jc w:val="center"/>
              <w:rPr>
                <w:kern w:val="0"/>
                <w:sz w:val="24"/>
                <w:szCs w:val="24"/>
              </w:rPr>
            </w:pPr>
            <w:r>
              <w:rPr>
                <w:rFonts w:hint="eastAsia" w:cs="仿宋"/>
                <w:kern w:val="0"/>
                <w:sz w:val="24"/>
                <w:szCs w:val="24"/>
              </w:rPr>
              <w:t>田间配套设施建设工程</w:t>
            </w: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财落街道、新城子乡田间配套工程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沈北新区</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冷子堡镇、朱家房镇田间配套工程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辽中区</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东蛇山镇、公主屯镇田间配套工程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新民市</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小城子镇、北四家子乡田间配套工程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康平县</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Merge w:val="continue"/>
            <w:vAlign w:val="center"/>
          </w:tcPr>
          <w:p>
            <w:pPr>
              <w:spacing w:line="240" w:lineRule="auto"/>
              <w:ind w:firstLine="0" w:firstLineChars="0"/>
              <w:jc w:val="center"/>
              <w:rPr>
                <w:kern w:val="0"/>
                <w:sz w:val="24"/>
                <w:szCs w:val="24"/>
              </w:rPr>
            </w:pP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秀水河镇、叶茂台镇田间配套工程</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法库县</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6" w:type="dxa"/>
            <w:vAlign w:val="center"/>
          </w:tcPr>
          <w:p>
            <w:pPr>
              <w:spacing w:line="240" w:lineRule="auto"/>
              <w:ind w:firstLine="0" w:firstLineChars="0"/>
              <w:jc w:val="center"/>
              <w:rPr>
                <w:kern w:val="0"/>
                <w:sz w:val="24"/>
                <w:szCs w:val="24"/>
              </w:rPr>
            </w:pPr>
            <w:r>
              <w:rPr>
                <w:rFonts w:hint="eastAsia" w:cs="仿宋"/>
                <w:kern w:val="0"/>
                <w:sz w:val="24"/>
                <w:szCs w:val="24"/>
              </w:rPr>
              <w:t>病死畜禽无害化设施建设工程</w:t>
            </w:r>
          </w:p>
        </w:tc>
        <w:tc>
          <w:tcPr>
            <w:tcW w:w="4096" w:type="dxa"/>
            <w:vAlign w:val="center"/>
          </w:tcPr>
          <w:p>
            <w:pPr>
              <w:spacing w:line="240" w:lineRule="auto"/>
              <w:ind w:firstLine="0" w:firstLineChars="0"/>
              <w:jc w:val="center"/>
              <w:rPr>
                <w:kern w:val="0"/>
                <w:sz w:val="24"/>
                <w:szCs w:val="24"/>
              </w:rPr>
            </w:pPr>
            <w:r>
              <w:rPr>
                <w:rFonts w:hint="eastAsia" w:cs="仿宋"/>
                <w:kern w:val="0"/>
                <w:sz w:val="24"/>
                <w:szCs w:val="24"/>
              </w:rPr>
              <w:t>建设沈阳市病死动物无害化处理中心一处</w:t>
            </w:r>
          </w:p>
        </w:tc>
        <w:tc>
          <w:tcPr>
            <w:tcW w:w="1282" w:type="dxa"/>
            <w:vAlign w:val="center"/>
          </w:tcPr>
          <w:p>
            <w:pPr>
              <w:spacing w:line="240" w:lineRule="auto"/>
              <w:ind w:firstLine="0" w:firstLineChars="0"/>
              <w:jc w:val="center"/>
              <w:rPr>
                <w:kern w:val="0"/>
                <w:sz w:val="24"/>
                <w:szCs w:val="24"/>
              </w:rPr>
            </w:pPr>
            <w:r>
              <w:rPr>
                <w:rFonts w:hint="eastAsia" w:cs="仿宋"/>
                <w:kern w:val="0"/>
                <w:sz w:val="24"/>
                <w:szCs w:val="24"/>
              </w:rPr>
              <w:t>沈阳市</w:t>
            </w:r>
          </w:p>
        </w:tc>
        <w:tc>
          <w:tcPr>
            <w:tcW w:w="1212" w:type="dxa"/>
            <w:vAlign w:val="center"/>
          </w:tcPr>
          <w:p>
            <w:pPr>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bookmarkEnd w:id="79"/>
    </w:tbl>
    <w:p>
      <w:pPr>
        <w:pStyle w:val="3"/>
      </w:pPr>
      <w:bookmarkStart w:id="80" w:name="_Toc90558543"/>
      <w:r>
        <w:t>5.1</w:t>
      </w:r>
      <w:r>
        <w:rPr>
          <w:rFonts w:hint="eastAsia" w:cs="仿宋"/>
        </w:rPr>
        <w:t>养殖场（户）畜禽粪污处理利用设施提升工程</w:t>
      </w:r>
      <w:bookmarkEnd w:id="80"/>
    </w:p>
    <w:p>
      <w:pPr>
        <w:ind w:firstLine="31680"/>
      </w:pPr>
      <w:r>
        <w:rPr>
          <w:rFonts w:hint="eastAsia" w:cs="仿宋"/>
        </w:rPr>
        <w:t>新民市</w:t>
      </w:r>
      <w:r>
        <w:t>13</w:t>
      </w:r>
      <w:r>
        <w:rPr>
          <w:rFonts w:hint="eastAsia" w:cs="仿宋"/>
        </w:rPr>
        <w:t>家规模养殖场设施升级改造工程。完成</w:t>
      </w:r>
      <w:r>
        <w:t>13</w:t>
      </w:r>
      <w:r>
        <w:rPr>
          <w:rFonts w:hint="eastAsia" w:cs="仿宋"/>
        </w:rPr>
        <w:t>家规模养殖场设施升级改造，改造内容为建设堆粪场、黑膜厌氧发酵池。</w:t>
      </w:r>
    </w:p>
    <w:p>
      <w:pPr>
        <w:ind w:firstLine="31680"/>
      </w:pPr>
      <w:r>
        <w:rPr>
          <w:rFonts w:hint="eastAsia" w:cs="仿宋"/>
        </w:rPr>
        <w:t>辽中区辽寨牧村养殖基地粪污集中储存设施改造工程。改造已建设养殖密集区集中式粪污贮存场、废液发酵池设施，使贮存场具备</w:t>
      </w:r>
      <w:r>
        <w:t>“</w:t>
      </w:r>
      <w:r>
        <w:rPr>
          <w:rFonts w:hint="eastAsia" w:cs="仿宋"/>
        </w:rPr>
        <w:t>三防</w:t>
      </w:r>
      <w:r>
        <w:t>”</w:t>
      </w:r>
      <w:r>
        <w:rPr>
          <w:rFonts w:hint="eastAsia" w:cs="仿宋"/>
        </w:rPr>
        <w:t>能力，符合相关要求。</w:t>
      </w:r>
    </w:p>
    <w:p>
      <w:pPr>
        <w:pStyle w:val="3"/>
      </w:pPr>
      <w:bookmarkStart w:id="81" w:name="_Toc90558544"/>
      <w:r>
        <w:t>5.2</w:t>
      </w:r>
      <w:bookmarkStart w:id="82" w:name="_Hlk78388034"/>
      <w:r>
        <w:rPr>
          <w:rFonts w:hint="eastAsia" w:cs="仿宋"/>
        </w:rPr>
        <w:t>畜禽粪污转运及集中处理中心建设工程</w:t>
      </w:r>
      <w:bookmarkEnd w:id="81"/>
      <w:bookmarkEnd w:id="82"/>
    </w:p>
    <w:p>
      <w:pPr>
        <w:ind w:firstLine="31680"/>
      </w:pPr>
      <w:r>
        <w:rPr>
          <w:rFonts w:hint="eastAsia" w:cs="仿宋"/>
        </w:rPr>
        <w:t>沈北新区畜禽粪污集中收集点项目。共建设畜禽粪污集中收储点发酵点</w:t>
      </w:r>
      <w:r>
        <w:t>3</w:t>
      </w:r>
      <w:r>
        <w:rPr>
          <w:rFonts w:hint="eastAsia" w:cs="仿宋"/>
        </w:rPr>
        <w:t>处，总面积</w:t>
      </w:r>
      <w:r>
        <w:t>12035.32</w:t>
      </w:r>
      <w:r>
        <w:rPr>
          <w:rFonts w:hint="eastAsia" w:cs="仿宋"/>
        </w:rPr>
        <w:t>平方米，</w:t>
      </w:r>
      <w:bookmarkStart w:id="83" w:name="_Hlk80540403"/>
      <w:r>
        <w:rPr>
          <w:rFonts w:hint="eastAsia" w:cs="仿宋"/>
        </w:rPr>
        <w:t>位于兴隆街道十二家子村、财落街道得胜台社区</w:t>
      </w:r>
      <w:bookmarkEnd w:id="83"/>
      <w:r>
        <w:rPr>
          <w:rFonts w:hint="eastAsia" w:cs="仿宋"/>
        </w:rPr>
        <w:t>；污水处理</w:t>
      </w:r>
      <w:r>
        <w:t>2</w:t>
      </w:r>
      <w:r>
        <w:rPr>
          <w:rFonts w:hint="eastAsia" w:cs="仿宋"/>
        </w:rPr>
        <w:t>个，总容积</w:t>
      </w:r>
      <w:r>
        <w:t>3651.10</w:t>
      </w:r>
      <w:r>
        <w:rPr>
          <w:rFonts w:hint="eastAsia" w:cs="仿宋"/>
        </w:rPr>
        <w:t>立方米，位于兴隆街道十二家子村、财落街道得胜台社区。</w:t>
      </w:r>
    </w:p>
    <w:p>
      <w:pPr>
        <w:ind w:firstLine="31680"/>
      </w:pPr>
      <w:r>
        <w:rPr>
          <w:rFonts w:hint="eastAsia" w:cs="仿宋"/>
        </w:rPr>
        <w:t>辽中区有机肥厂及粪污处理中心项目。沈阳市万全种禽有限公司建设</w:t>
      </w:r>
      <w:r>
        <w:t>1</w:t>
      </w:r>
      <w:r>
        <w:rPr>
          <w:rFonts w:hint="eastAsia" w:cs="仿宋"/>
        </w:rPr>
        <w:t>个有机肥厂和沈阳善达能源有限公司建设</w:t>
      </w:r>
      <w:r>
        <w:t>1</w:t>
      </w:r>
      <w:r>
        <w:rPr>
          <w:rFonts w:hint="eastAsia" w:cs="仿宋"/>
        </w:rPr>
        <w:t>个畜禽粪污处理中心，采用</w:t>
      </w:r>
      <w:r>
        <w:t>“</w:t>
      </w:r>
      <w:r>
        <w:rPr>
          <w:rFonts w:hint="eastAsia" w:cs="仿宋"/>
        </w:rPr>
        <w:t>厌氧发酵</w:t>
      </w:r>
      <w:r>
        <w:t>+</w:t>
      </w:r>
      <w:r>
        <w:rPr>
          <w:rFonts w:hint="eastAsia" w:cs="仿宋"/>
        </w:rPr>
        <w:t>好氧发酵</w:t>
      </w:r>
      <w:r>
        <w:t>”</w:t>
      </w:r>
      <w:r>
        <w:rPr>
          <w:rFonts w:hint="eastAsia" w:cs="仿宋"/>
        </w:rPr>
        <w:t>复合工艺。</w:t>
      </w:r>
    </w:p>
    <w:p>
      <w:pPr>
        <w:ind w:firstLine="31680"/>
      </w:pPr>
      <w:r>
        <w:rPr>
          <w:rFonts w:hint="eastAsia" w:cs="仿宋"/>
        </w:rPr>
        <w:t>新民市畜禽粪污处理中心项目。建设</w:t>
      </w:r>
      <w:r>
        <w:t>1</w:t>
      </w:r>
      <w:r>
        <w:rPr>
          <w:rFonts w:hint="eastAsia" w:cs="仿宋"/>
        </w:rPr>
        <w:t>个区域处理中心（有机肥厂）；建设</w:t>
      </w:r>
      <w:r>
        <w:t>3</w:t>
      </w:r>
      <w:r>
        <w:rPr>
          <w:rFonts w:hint="eastAsia" w:cs="仿宋"/>
        </w:rPr>
        <w:t>个区域粪污收集中心</w:t>
      </w:r>
      <w:r>
        <w:t>1568.25</w:t>
      </w:r>
      <w:r>
        <w:rPr>
          <w:rFonts w:hint="eastAsia" w:cs="仿宋"/>
        </w:rPr>
        <w:t>平方米、黑膜厌氧发酵池</w:t>
      </w:r>
      <w:r>
        <w:t>90000</w:t>
      </w:r>
      <w:r>
        <w:rPr>
          <w:rFonts w:hint="eastAsia" w:cs="仿宋"/>
        </w:rPr>
        <w:t>立方米。</w:t>
      </w:r>
    </w:p>
    <w:p>
      <w:pPr>
        <w:ind w:firstLine="31680"/>
      </w:pPr>
      <w:r>
        <w:rPr>
          <w:rFonts w:hint="eastAsia" w:cs="仿宋"/>
        </w:rPr>
        <w:t>康平县畜禽粪污资源化利用项目。新建储粪场</w:t>
      </w:r>
      <w:r>
        <w:t>29</w:t>
      </w:r>
      <w:r>
        <w:rPr>
          <w:rFonts w:hint="eastAsia" w:cs="仿宋"/>
        </w:rPr>
        <w:t>个，占地</w:t>
      </w:r>
      <w:r>
        <w:t>4394</w:t>
      </w:r>
      <w:r>
        <w:rPr>
          <w:rFonts w:hint="eastAsia" w:cs="仿宋"/>
        </w:rPr>
        <w:t>平方米，污水储存池</w:t>
      </w:r>
      <w:r>
        <w:t>7</w:t>
      </w:r>
      <w:r>
        <w:rPr>
          <w:rFonts w:hint="eastAsia" w:cs="仿宋"/>
        </w:rPr>
        <w:t>个，占地</w:t>
      </w:r>
      <w:r>
        <w:t>5004</w:t>
      </w:r>
      <w:r>
        <w:rPr>
          <w:rFonts w:hint="eastAsia" w:cs="仿宋"/>
        </w:rPr>
        <w:t>平方米。区域性收集中心</w:t>
      </w:r>
      <w:r>
        <w:t>3</w:t>
      </w:r>
      <w:r>
        <w:rPr>
          <w:rFonts w:hint="eastAsia" w:cs="仿宋"/>
        </w:rPr>
        <w:t>个，合计粪污收集场地</w:t>
      </w:r>
      <w:r>
        <w:t>28217.28</w:t>
      </w:r>
      <w:r>
        <w:rPr>
          <w:rFonts w:hint="eastAsia" w:cs="仿宋"/>
        </w:rPr>
        <w:t>平方米，储液池</w:t>
      </w:r>
      <w:r>
        <w:t>9435</w:t>
      </w:r>
      <w:r>
        <w:rPr>
          <w:rFonts w:hint="eastAsia" w:cs="仿宋"/>
        </w:rPr>
        <w:t>立方米。区域性粪污集中处理中心</w:t>
      </w:r>
      <w:r>
        <w:t>1</w:t>
      </w:r>
      <w:r>
        <w:rPr>
          <w:rFonts w:hint="eastAsia" w:cs="仿宋"/>
        </w:rPr>
        <w:t>个，包括烘干车间、造粒车间等</w:t>
      </w:r>
      <w:r>
        <w:t>20513.67</w:t>
      </w:r>
      <w:r>
        <w:rPr>
          <w:rFonts w:hint="eastAsia" w:cs="仿宋"/>
        </w:rPr>
        <w:t>平方米，场地</w:t>
      </w:r>
      <w:r>
        <w:t>58356.64</w:t>
      </w:r>
      <w:r>
        <w:rPr>
          <w:rFonts w:hint="eastAsia" w:cs="仿宋"/>
        </w:rPr>
        <w:t>平方米新建储粪池</w:t>
      </w:r>
      <w:r>
        <w:t>49122.8</w:t>
      </w:r>
      <w:r>
        <w:rPr>
          <w:rFonts w:hint="eastAsia" w:cs="仿宋"/>
        </w:rPr>
        <w:t>立方米。</w:t>
      </w:r>
    </w:p>
    <w:p>
      <w:pPr>
        <w:ind w:firstLine="31680"/>
      </w:pPr>
      <w:r>
        <w:rPr>
          <w:rFonts w:hint="eastAsia" w:cs="仿宋"/>
        </w:rPr>
        <w:t>法库县畜禽粪污综合利用项目。</w:t>
      </w:r>
      <w:r>
        <w:t>229</w:t>
      </w:r>
      <w:r>
        <w:rPr>
          <w:rFonts w:hint="eastAsia" w:cs="仿宋"/>
        </w:rPr>
        <w:t>座村级堆粪场，其中</w:t>
      </w:r>
      <w:r>
        <w:t xml:space="preserve">300 </w:t>
      </w:r>
      <w:r>
        <w:rPr>
          <w:rFonts w:hint="eastAsia" w:cs="仿宋"/>
        </w:rPr>
        <w:t>平方米</w:t>
      </w:r>
      <w:r>
        <w:t>23</w:t>
      </w:r>
      <w:r>
        <w:rPr>
          <w:rFonts w:hint="eastAsia" w:cs="仿宋"/>
        </w:rPr>
        <w:t>座，</w:t>
      </w:r>
      <w:r>
        <w:t>250</w:t>
      </w:r>
      <w:r>
        <w:rPr>
          <w:rFonts w:hint="eastAsia" w:cs="仿宋"/>
        </w:rPr>
        <w:t>平方米</w:t>
      </w:r>
      <w:r>
        <w:t>58</w:t>
      </w:r>
      <w:r>
        <w:rPr>
          <w:rFonts w:hint="eastAsia" w:cs="仿宋"/>
        </w:rPr>
        <w:t>座，</w:t>
      </w:r>
      <w:r>
        <w:t>200</w:t>
      </w:r>
      <w:r>
        <w:rPr>
          <w:rFonts w:hint="eastAsia" w:cs="仿宋"/>
        </w:rPr>
        <w:t>平方米</w:t>
      </w:r>
      <w:r>
        <w:t>148</w:t>
      </w:r>
      <w:r>
        <w:rPr>
          <w:rFonts w:hint="eastAsia" w:cs="仿宋"/>
        </w:rPr>
        <w:t>座，合计</w:t>
      </w:r>
      <w:r>
        <w:t>51000</w:t>
      </w:r>
      <w:r>
        <w:rPr>
          <w:rFonts w:hint="eastAsia" w:cs="仿宋"/>
        </w:rPr>
        <w:t>平方米。畜禽粪污处理中心包括除砂池、匀浆池、厌氧发酵罐、一体化储气柜等。建设</w:t>
      </w:r>
      <w:r>
        <w:t>1</w:t>
      </w:r>
      <w:r>
        <w:rPr>
          <w:rFonts w:hint="eastAsia" w:cs="仿宋"/>
        </w:rPr>
        <w:t>座畜禽粪污处理中心。新建除砂池</w:t>
      </w:r>
      <w:r>
        <w:t>707</w:t>
      </w:r>
      <w:r>
        <w:rPr>
          <w:rFonts w:hint="eastAsia" w:cs="仿宋"/>
        </w:rPr>
        <w:t>立方米、匀浆池</w:t>
      </w:r>
      <w:r>
        <w:t>1327</w:t>
      </w:r>
      <w:r>
        <w:rPr>
          <w:rFonts w:hint="eastAsia" w:cs="仿宋"/>
        </w:rPr>
        <w:t>立方米、厌氧发酵罐</w:t>
      </w:r>
      <w:r>
        <w:t>35111</w:t>
      </w:r>
      <w:r>
        <w:rPr>
          <w:rFonts w:hint="eastAsia" w:cs="仿宋"/>
        </w:rPr>
        <w:t>立方米、一体化储气柜</w:t>
      </w:r>
      <w:r>
        <w:t>8216</w:t>
      </w:r>
      <w:r>
        <w:rPr>
          <w:rFonts w:hint="eastAsia" w:cs="仿宋"/>
        </w:rPr>
        <w:t>立方米、有机肥生产车间</w:t>
      </w:r>
      <w:r>
        <w:t>11920</w:t>
      </w:r>
      <w:r>
        <w:rPr>
          <w:rFonts w:hint="eastAsia" w:cs="仿宋"/>
        </w:rPr>
        <w:t>平方米、沼液暂存池</w:t>
      </w:r>
      <w:r>
        <w:t>823</w:t>
      </w:r>
      <w:r>
        <w:rPr>
          <w:rFonts w:hint="eastAsia" w:cs="仿宋"/>
        </w:rPr>
        <w:t>立方米、沼液池</w:t>
      </w:r>
      <w:r>
        <w:t>80785</w:t>
      </w:r>
      <w:r>
        <w:rPr>
          <w:rFonts w:hint="eastAsia" w:cs="仿宋"/>
        </w:rPr>
        <w:t>立方米。以及辅助配套设施等。</w:t>
      </w:r>
    </w:p>
    <w:p>
      <w:pPr>
        <w:pStyle w:val="3"/>
      </w:pPr>
      <w:bookmarkStart w:id="84" w:name="_Toc90558545"/>
      <w:r>
        <w:t>5.3</w:t>
      </w:r>
      <w:r>
        <w:rPr>
          <w:rFonts w:hint="eastAsia" w:cs="仿宋"/>
        </w:rPr>
        <w:t>田间配套设施建设工程</w:t>
      </w:r>
      <w:bookmarkEnd w:id="84"/>
    </w:p>
    <w:p>
      <w:pPr>
        <w:ind w:firstLine="31680"/>
      </w:pPr>
      <w:r>
        <w:rPr>
          <w:rFonts w:hint="eastAsia" w:cs="仿宋"/>
        </w:rPr>
        <w:t>选取沈北新区（财落街道、新城子乡）、辽中区（冷子堡镇、朱家房镇）、新民市（东蛇山镇、公主屯镇）、康平县（小城子镇、北四家子乡）、法库县（秀水河镇、叶茂台镇）分别选取</w:t>
      </w:r>
      <w:r>
        <w:t>2</w:t>
      </w:r>
      <w:r>
        <w:rPr>
          <w:rFonts w:hint="eastAsia" w:cs="仿宋"/>
        </w:rPr>
        <w:t>个村为试点村，建设田间配套设施工程。每个试点村依据自身实际情况，选择建设田间粪污暂存设施、配置运输罐车、固态肥抛撒机、液态粪肥撒施机远距离施肥泵等粪污还田设施。</w:t>
      </w:r>
    </w:p>
    <w:p>
      <w:pPr>
        <w:pStyle w:val="3"/>
      </w:pPr>
      <w:bookmarkStart w:id="85" w:name="_Toc90558546"/>
      <w:r>
        <w:t>5.4</w:t>
      </w:r>
      <w:r>
        <w:rPr>
          <w:rFonts w:hint="eastAsia" w:cs="仿宋"/>
        </w:rPr>
        <w:t>病死畜禽无害化设施建设工程</w:t>
      </w:r>
      <w:bookmarkEnd w:id="85"/>
    </w:p>
    <w:p>
      <w:pPr>
        <w:ind w:firstLine="31680"/>
      </w:pPr>
      <w:r>
        <w:rPr>
          <w:rFonts w:hint="eastAsia" w:cs="仿宋"/>
        </w:rPr>
        <w:t>建设沈阳市病死畜禽无害化处理中心一处，位置位于于洪区光辉街道三台子村光辉畜牧场三分场，建设规模为批次处理能力按</w:t>
      </w:r>
      <w:r>
        <w:t>3</w:t>
      </w:r>
      <w:r>
        <w:rPr>
          <w:rFonts w:hint="eastAsia" w:cs="仿宋"/>
        </w:rPr>
        <w:t>吨设计，批次处理时间</w:t>
      </w:r>
      <w:r>
        <w:t>8</w:t>
      </w:r>
      <w:r>
        <w:rPr>
          <w:rFonts w:hint="eastAsia" w:cs="仿宋"/>
        </w:rPr>
        <w:t>小时，日最大处理能力为</w:t>
      </w:r>
      <w:r>
        <w:t>9</w:t>
      </w:r>
      <w:r>
        <w:rPr>
          <w:rFonts w:hint="eastAsia" w:cs="仿宋"/>
        </w:rPr>
        <w:t>吨，采用高温化制和焚烧工艺对动物尸体进行无害化处理。</w:t>
      </w:r>
    </w:p>
    <w:p>
      <w:pPr>
        <w:pStyle w:val="2"/>
      </w:pPr>
      <w:bookmarkStart w:id="86" w:name="_Toc90558547"/>
      <w:r>
        <w:t>6</w:t>
      </w:r>
      <w:r>
        <w:rPr>
          <w:rFonts w:hint="eastAsia" w:cs="仿宋"/>
        </w:rPr>
        <w:t>、工程投资估算与资金筹措</w:t>
      </w:r>
      <w:bookmarkEnd w:id="86"/>
    </w:p>
    <w:p>
      <w:pPr>
        <w:pStyle w:val="3"/>
      </w:pPr>
      <w:bookmarkStart w:id="87" w:name="_Toc90558548"/>
      <w:r>
        <w:t>6.1</w:t>
      </w:r>
      <w:r>
        <w:rPr>
          <w:rFonts w:hint="eastAsia" w:cs="仿宋"/>
        </w:rPr>
        <w:t>投资估算与资金筹措</w:t>
      </w:r>
      <w:bookmarkEnd w:id="87"/>
    </w:p>
    <w:p>
      <w:pPr>
        <w:ind w:firstLine="31680"/>
      </w:pPr>
      <w:r>
        <w:rPr>
          <w:rFonts w:hint="eastAsia" w:cs="仿宋"/>
        </w:rPr>
        <w:t>十四五期间，沈阳市畜禽养殖污染防治重点工程投资合计</w:t>
      </w:r>
      <w:r>
        <w:t>48617.75</w:t>
      </w:r>
      <w:r>
        <w:rPr>
          <w:rFonts w:hint="eastAsia" w:cs="仿宋"/>
        </w:rPr>
        <w:t>万元。详见表</w:t>
      </w:r>
      <w:r>
        <w:t>6-1</w:t>
      </w:r>
      <w:r>
        <w:rPr>
          <w:rFonts w:hint="eastAsia" w:cs="仿宋"/>
        </w:rPr>
        <w:t>。</w:t>
      </w:r>
    </w:p>
    <w:p>
      <w:pPr>
        <w:ind w:firstLine="31680"/>
      </w:pPr>
      <w:r>
        <w:rPr>
          <w:rFonts w:hint="eastAsia" w:cs="仿宋"/>
        </w:rPr>
        <w:t>沈北新区、辽中区、新民市、康平县、法库县粪污畜禽粪污转运及集中处理中心运营费由相应建设公司自行承担。病死畜禽无害化设施建设工程由市财政承担。</w:t>
      </w:r>
    </w:p>
    <w:p>
      <w:pPr>
        <w:pStyle w:val="5"/>
        <w:spacing w:before="190"/>
      </w:pPr>
      <w:bookmarkStart w:id="88" w:name="_Hlk83806129"/>
      <w:r>
        <w:rPr>
          <w:rFonts w:hint="eastAsia" w:cs="仿宋"/>
        </w:rPr>
        <w:t>表</w:t>
      </w:r>
      <w:r>
        <w:t xml:space="preserve">6-1 </w:t>
      </w:r>
      <w:r>
        <w:rPr>
          <w:rFonts w:hint="eastAsia" w:cs="仿宋"/>
        </w:rPr>
        <w:t>畜禽养殖污染防治工程投资估算表（单位：万元）</w:t>
      </w:r>
    </w:p>
    <w:tbl>
      <w:tblPr>
        <w:tblStyle w:val="20"/>
        <w:tblW w:w="0" w:type="auto"/>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3"/>
        <w:gridCol w:w="1912"/>
        <w:gridCol w:w="1116"/>
        <w:gridCol w:w="1125"/>
        <w:gridCol w:w="996"/>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pPr>
              <w:topLinePunct/>
              <w:adjustRightInd w:val="0"/>
              <w:snapToGrid w:val="0"/>
              <w:spacing w:line="240" w:lineRule="auto"/>
              <w:ind w:firstLine="0" w:firstLineChars="0"/>
              <w:jc w:val="center"/>
              <w:rPr>
                <w:b/>
                <w:bCs/>
                <w:kern w:val="0"/>
                <w:sz w:val="24"/>
                <w:szCs w:val="24"/>
              </w:rPr>
            </w:pPr>
            <w:bookmarkStart w:id="89" w:name="_Hlk89874939"/>
            <w:r>
              <w:rPr>
                <w:rFonts w:hint="eastAsia" w:cs="仿宋"/>
                <w:b/>
                <w:bCs/>
                <w:kern w:val="0"/>
                <w:sz w:val="24"/>
                <w:szCs w:val="24"/>
              </w:rPr>
              <w:t>工程名称</w:t>
            </w:r>
          </w:p>
        </w:tc>
        <w:tc>
          <w:tcPr>
            <w:tcW w:w="1912"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工程内容</w:t>
            </w:r>
          </w:p>
        </w:tc>
        <w:tc>
          <w:tcPr>
            <w:tcW w:w="1116"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总投资</w:t>
            </w:r>
          </w:p>
        </w:tc>
        <w:tc>
          <w:tcPr>
            <w:tcW w:w="1125"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中央资金</w:t>
            </w:r>
          </w:p>
        </w:tc>
        <w:tc>
          <w:tcPr>
            <w:tcW w:w="996"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地方资金</w:t>
            </w:r>
          </w:p>
        </w:tc>
        <w:tc>
          <w:tcPr>
            <w:tcW w:w="884"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企业自筹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trPr>
        <w:tc>
          <w:tcPr>
            <w:tcW w:w="2263" w:type="dxa"/>
            <w:vAlign w:val="center"/>
          </w:tcPr>
          <w:p>
            <w:pPr>
              <w:topLinePunct/>
              <w:adjustRightInd w:val="0"/>
              <w:snapToGrid w:val="0"/>
              <w:spacing w:line="240" w:lineRule="auto"/>
              <w:ind w:firstLine="0" w:firstLineChars="0"/>
              <w:jc w:val="center"/>
              <w:rPr>
                <w:kern w:val="0"/>
                <w:sz w:val="24"/>
                <w:szCs w:val="24"/>
              </w:rPr>
            </w:pPr>
            <w:bookmarkStart w:id="90" w:name="_Hlk78388214"/>
            <w:r>
              <w:rPr>
                <w:rFonts w:hint="eastAsia" w:cs="仿宋"/>
                <w:kern w:val="0"/>
                <w:sz w:val="24"/>
                <w:szCs w:val="24"/>
              </w:rPr>
              <w:t>辽中区辽寨牧村养殖基地粪污集中储存设施改造工程</w:t>
            </w:r>
            <w:bookmarkEnd w:id="90"/>
          </w:p>
        </w:tc>
        <w:tc>
          <w:tcPr>
            <w:tcW w:w="1912"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已建设施升级改造</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200</w:t>
            </w:r>
          </w:p>
        </w:tc>
        <w:tc>
          <w:tcPr>
            <w:tcW w:w="1125" w:type="dxa"/>
            <w:vAlign w:val="center"/>
          </w:tcPr>
          <w:p>
            <w:pPr>
              <w:topLinePunct/>
              <w:adjustRightInd w:val="0"/>
              <w:snapToGrid w:val="0"/>
              <w:spacing w:line="240" w:lineRule="auto"/>
              <w:ind w:firstLine="0" w:firstLineChars="0"/>
              <w:jc w:val="center"/>
              <w:rPr>
                <w:kern w:val="0"/>
                <w:sz w:val="24"/>
                <w:szCs w:val="24"/>
              </w:rPr>
            </w:pPr>
          </w:p>
        </w:tc>
        <w:tc>
          <w:tcPr>
            <w:tcW w:w="99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200</w:t>
            </w:r>
          </w:p>
        </w:tc>
        <w:tc>
          <w:tcPr>
            <w:tcW w:w="884" w:type="dxa"/>
            <w:vAlign w:val="center"/>
          </w:tcPr>
          <w:p>
            <w:pPr>
              <w:topLinePunct/>
              <w:adjustRightInd w:val="0"/>
              <w:snapToGrid w:val="0"/>
              <w:spacing w:line="240" w:lineRule="auto"/>
              <w:ind w:firstLine="0" w:firstLineChars="0"/>
              <w:jc w:val="center"/>
              <w:rPr>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沈北新区畜禽粪污集中收集点项目</w:t>
            </w:r>
          </w:p>
        </w:tc>
        <w:tc>
          <w:tcPr>
            <w:tcW w:w="1912"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畜禽粪污集中收储点</w:t>
            </w:r>
            <w:r>
              <w:rPr>
                <w:kern w:val="0"/>
                <w:sz w:val="24"/>
                <w:szCs w:val="24"/>
              </w:rPr>
              <w:t>2</w:t>
            </w:r>
            <w:r>
              <w:rPr>
                <w:rFonts w:hint="eastAsia" w:cs="仿宋"/>
                <w:kern w:val="0"/>
                <w:sz w:val="24"/>
                <w:szCs w:val="24"/>
              </w:rPr>
              <w:t>处，粪肥堆积发酵场</w:t>
            </w:r>
            <w:r>
              <w:rPr>
                <w:kern w:val="0"/>
                <w:sz w:val="24"/>
                <w:szCs w:val="24"/>
              </w:rPr>
              <w:t>2</w:t>
            </w:r>
            <w:r>
              <w:rPr>
                <w:rFonts w:hint="eastAsia" w:cs="仿宋"/>
                <w:kern w:val="0"/>
                <w:sz w:val="24"/>
                <w:szCs w:val="24"/>
              </w:rPr>
              <w:t>个</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2579</w:t>
            </w:r>
          </w:p>
        </w:tc>
        <w:tc>
          <w:tcPr>
            <w:tcW w:w="1125"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2342</w:t>
            </w:r>
          </w:p>
        </w:tc>
        <w:tc>
          <w:tcPr>
            <w:tcW w:w="99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237</w:t>
            </w:r>
          </w:p>
        </w:tc>
        <w:tc>
          <w:tcPr>
            <w:tcW w:w="884" w:type="dxa"/>
            <w:vAlign w:val="center"/>
          </w:tcPr>
          <w:p>
            <w:pPr>
              <w:topLinePunct/>
              <w:adjustRightInd w:val="0"/>
              <w:snapToGrid w:val="0"/>
              <w:spacing w:line="240" w:lineRule="auto"/>
              <w:ind w:firstLine="0" w:firstLineChars="0"/>
              <w:jc w:val="center"/>
              <w:rPr>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辽中区有机肥厂及粪污处理中心项目</w:t>
            </w:r>
          </w:p>
        </w:tc>
        <w:tc>
          <w:tcPr>
            <w:tcW w:w="1912"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有机肥厂</w:t>
            </w:r>
            <w:r>
              <w:rPr>
                <w:kern w:val="0"/>
                <w:sz w:val="24"/>
                <w:szCs w:val="24"/>
              </w:rPr>
              <w:t>1</w:t>
            </w:r>
            <w:r>
              <w:rPr>
                <w:rFonts w:hint="eastAsia" w:cs="仿宋"/>
                <w:kern w:val="0"/>
                <w:sz w:val="24"/>
                <w:szCs w:val="24"/>
              </w:rPr>
              <w:t>个，畜禽粪污处理中心</w:t>
            </w:r>
            <w:r>
              <w:rPr>
                <w:kern w:val="0"/>
                <w:sz w:val="24"/>
                <w:szCs w:val="24"/>
              </w:rPr>
              <w:t>1</w:t>
            </w:r>
            <w:r>
              <w:rPr>
                <w:rFonts w:hint="eastAsia" w:cs="仿宋"/>
                <w:kern w:val="0"/>
                <w:sz w:val="24"/>
                <w:szCs w:val="24"/>
              </w:rPr>
              <w:t>个</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12000</w:t>
            </w:r>
          </w:p>
        </w:tc>
        <w:tc>
          <w:tcPr>
            <w:tcW w:w="1125"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5000</w:t>
            </w:r>
          </w:p>
        </w:tc>
        <w:tc>
          <w:tcPr>
            <w:tcW w:w="996" w:type="dxa"/>
            <w:vAlign w:val="center"/>
          </w:tcPr>
          <w:p>
            <w:pPr>
              <w:topLinePunct/>
              <w:adjustRightInd w:val="0"/>
              <w:snapToGrid w:val="0"/>
              <w:spacing w:line="240" w:lineRule="auto"/>
              <w:ind w:firstLine="0" w:firstLineChars="0"/>
              <w:jc w:val="center"/>
              <w:rPr>
                <w:kern w:val="0"/>
                <w:sz w:val="24"/>
                <w:szCs w:val="24"/>
              </w:rPr>
            </w:pPr>
          </w:p>
        </w:tc>
        <w:tc>
          <w:tcPr>
            <w:tcW w:w="884"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trPr>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新民市畜禽粪污处理中心项目</w:t>
            </w:r>
          </w:p>
        </w:tc>
        <w:tc>
          <w:tcPr>
            <w:tcW w:w="1912"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w:t>
            </w:r>
            <w:r>
              <w:rPr>
                <w:rFonts w:hint="eastAsia" w:cs="仿宋"/>
                <w:kern w:val="0"/>
                <w:sz w:val="24"/>
                <w:szCs w:val="24"/>
              </w:rPr>
              <w:t>个畜禽粪污处理中心，</w:t>
            </w:r>
            <w:r>
              <w:rPr>
                <w:kern w:val="0"/>
                <w:sz w:val="24"/>
                <w:szCs w:val="24"/>
              </w:rPr>
              <w:t>3</w:t>
            </w:r>
            <w:r>
              <w:rPr>
                <w:rFonts w:hint="eastAsia" w:cs="仿宋"/>
                <w:kern w:val="0"/>
                <w:sz w:val="24"/>
                <w:szCs w:val="24"/>
              </w:rPr>
              <w:t>个粪污收集中心，</w:t>
            </w:r>
            <w:r>
              <w:rPr>
                <w:kern w:val="0"/>
                <w:sz w:val="24"/>
                <w:szCs w:val="24"/>
              </w:rPr>
              <w:t>13</w:t>
            </w:r>
            <w:r>
              <w:rPr>
                <w:rFonts w:hint="eastAsia" w:cs="仿宋"/>
                <w:kern w:val="0"/>
                <w:sz w:val="24"/>
                <w:szCs w:val="24"/>
              </w:rPr>
              <w:t>家规模养殖厂粪污处理设施</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8200</w:t>
            </w:r>
          </w:p>
        </w:tc>
        <w:tc>
          <w:tcPr>
            <w:tcW w:w="1125"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4000</w:t>
            </w:r>
          </w:p>
        </w:tc>
        <w:tc>
          <w:tcPr>
            <w:tcW w:w="996" w:type="dxa"/>
            <w:vAlign w:val="center"/>
          </w:tcPr>
          <w:p>
            <w:pPr>
              <w:topLinePunct/>
              <w:adjustRightInd w:val="0"/>
              <w:snapToGrid w:val="0"/>
              <w:spacing w:line="240" w:lineRule="auto"/>
              <w:ind w:firstLine="0" w:firstLineChars="0"/>
              <w:jc w:val="center"/>
              <w:rPr>
                <w:kern w:val="0"/>
                <w:sz w:val="24"/>
                <w:szCs w:val="24"/>
              </w:rPr>
            </w:pPr>
          </w:p>
        </w:tc>
        <w:tc>
          <w:tcPr>
            <w:tcW w:w="884"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4200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trPr>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康平县畜禽粪污资源化利用项目</w:t>
            </w:r>
          </w:p>
        </w:tc>
        <w:tc>
          <w:tcPr>
            <w:tcW w:w="1912"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新建储粪场</w:t>
            </w:r>
            <w:r>
              <w:rPr>
                <w:kern w:val="0"/>
                <w:sz w:val="24"/>
                <w:szCs w:val="24"/>
              </w:rPr>
              <w:t>29</w:t>
            </w:r>
            <w:r>
              <w:rPr>
                <w:rFonts w:hint="eastAsia" w:cs="仿宋"/>
                <w:kern w:val="0"/>
                <w:sz w:val="24"/>
                <w:szCs w:val="24"/>
              </w:rPr>
              <w:t>个，区域性收集中心</w:t>
            </w:r>
            <w:r>
              <w:rPr>
                <w:kern w:val="0"/>
                <w:sz w:val="24"/>
                <w:szCs w:val="24"/>
              </w:rPr>
              <w:t>3</w:t>
            </w:r>
            <w:r>
              <w:rPr>
                <w:rFonts w:hint="eastAsia" w:cs="仿宋"/>
                <w:kern w:val="0"/>
                <w:sz w:val="24"/>
                <w:szCs w:val="24"/>
              </w:rPr>
              <w:t>个，区域性粪污集中处理中心</w:t>
            </w:r>
            <w:r>
              <w:rPr>
                <w:kern w:val="0"/>
                <w:sz w:val="24"/>
                <w:szCs w:val="24"/>
              </w:rPr>
              <w:t>1</w:t>
            </w:r>
            <w:r>
              <w:rPr>
                <w:rFonts w:hint="eastAsia" w:cs="仿宋"/>
                <w:kern w:val="0"/>
                <w:sz w:val="24"/>
                <w:szCs w:val="24"/>
              </w:rPr>
              <w:t>个</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8045</w:t>
            </w:r>
          </w:p>
        </w:tc>
        <w:tc>
          <w:tcPr>
            <w:tcW w:w="1125"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4000</w:t>
            </w:r>
          </w:p>
        </w:tc>
        <w:tc>
          <w:tcPr>
            <w:tcW w:w="996" w:type="dxa"/>
            <w:vAlign w:val="center"/>
          </w:tcPr>
          <w:p>
            <w:pPr>
              <w:topLinePunct/>
              <w:adjustRightInd w:val="0"/>
              <w:snapToGrid w:val="0"/>
              <w:spacing w:line="240" w:lineRule="auto"/>
              <w:ind w:firstLine="0" w:firstLineChars="0"/>
              <w:jc w:val="center"/>
              <w:rPr>
                <w:kern w:val="0"/>
                <w:sz w:val="24"/>
                <w:szCs w:val="24"/>
              </w:rPr>
            </w:pPr>
          </w:p>
        </w:tc>
        <w:tc>
          <w:tcPr>
            <w:tcW w:w="884"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4045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法库县畜禽粪污综合利用项目</w:t>
            </w:r>
          </w:p>
        </w:tc>
        <w:tc>
          <w:tcPr>
            <w:tcW w:w="1912"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229</w:t>
            </w:r>
            <w:r>
              <w:rPr>
                <w:rFonts w:hint="eastAsia" w:cs="仿宋"/>
                <w:kern w:val="0"/>
                <w:sz w:val="24"/>
                <w:szCs w:val="24"/>
              </w:rPr>
              <w:t>座村级堆粪场，畜禽粪污处理中心</w:t>
            </w:r>
            <w:r>
              <w:rPr>
                <w:kern w:val="0"/>
                <w:sz w:val="24"/>
                <w:szCs w:val="24"/>
              </w:rPr>
              <w:t>1</w:t>
            </w:r>
            <w:r>
              <w:rPr>
                <w:rFonts w:hint="eastAsia" w:cs="仿宋"/>
                <w:kern w:val="0"/>
                <w:sz w:val="24"/>
                <w:szCs w:val="24"/>
              </w:rPr>
              <w:t>座</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12794</w:t>
            </w:r>
          </w:p>
        </w:tc>
        <w:tc>
          <w:tcPr>
            <w:tcW w:w="1125"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5000</w:t>
            </w:r>
          </w:p>
        </w:tc>
        <w:tc>
          <w:tcPr>
            <w:tcW w:w="996" w:type="dxa"/>
            <w:vAlign w:val="center"/>
          </w:tcPr>
          <w:p>
            <w:pPr>
              <w:topLinePunct/>
              <w:adjustRightInd w:val="0"/>
              <w:snapToGrid w:val="0"/>
              <w:spacing w:line="240" w:lineRule="auto"/>
              <w:ind w:firstLine="0" w:firstLineChars="0"/>
              <w:jc w:val="center"/>
              <w:rPr>
                <w:kern w:val="0"/>
                <w:sz w:val="24"/>
                <w:szCs w:val="24"/>
              </w:rPr>
            </w:pPr>
          </w:p>
        </w:tc>
        <w:tc>
          <w:tcPr>
            <w:tcW w:w="884"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7794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田间配套设施建设工程</w:t>
            </w:r>
          </w:p>
        </w:tc>
        <w:tc>
          <w:tcPr>
            <w:tcW w:w="1912"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10</w:t>
            </w:r>
            <w:r>
              <w:rPr>
                <w:rFonts w:hint="eastAsia" w:cs="仿宋"/>
                <w:kern w:val="0"/>
                <w:sz w:val="24"/>
                <w:szCs w:val="24"/>
              </w:rPr>
              <w:t>个试点村</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3000</w:t>
            </w:r>
          </w:p>
        </w:tc>
        <w:tc>
          <w:tcPr>
            <w:tcW w:w="1125" w:type="dxa"/>
            <w:vAlign w:val="center"/>
          </w:tcPr>
          <w:p>
            <w:pPr>
              <w:topLinePunct/>
              <w:adjustRightInd w:val="0"/>
              <w:snapToGrid w:val="0"/>
              <w:spacing w:line="240" w:lineRule="auto"/>
              <w:ind w:firstLine="0" w:firstLineChars="0"/>
              <w:jc w:val="center"/>
              <w:rPr>
                <w:kern w:val="0"/>
                <w:sz w:val="24"/>
                <w:szCs w:val="24"/>
              </w:rPr>
            </w:pPr>
          </w:p>
        </w:tc>
        <w:tc>
          <w:tcPr>
            <w:tcW w:w="99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3000</w:t>
            </w:r>
          </w:p>
        </w:tc>
        <w:tc>
          <w:tcPr>
            <w:tcW w:w="884" w:type="dxa"/>
            <w:vAlign w:val="center"/>
          </w:tcPr>
          <w:p>
            <w:pPr>
              <w:topLinePunct/>
              <w:adjustRightInd w:val="0"/>
              <w:snapToGrid w:val="0"/>
              <w:spacing w:line="240" w:lineRule="auto"/>
              <w:ind w:firstLine="0" w:firstLineChars="0"/>
              <w:jc w:val="center"/>
              <w:rPr>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2263"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病死畜禽无害化设施建设工程</w:t>
            </w:r>
          </w:p>
        </w:tc>
        <w:tc>
          <w:tcPr>
            <w:tcW w:w="1912" w:type="dxa"/>
            <w:vAlign w:val="center"/>
          </w:tcPr>
          <w:p>
            <w:pPr>
              <w:topLinePunct/>
              <w:adjustRightInd w:val="0"/>
              <w:snapToGrid w:val="0"/>
              <w:spacing w:line="240" w:lineRule="auto"/>
              <w:ind w:firstLine="0" w:firstLineChars="0"/>
              <w:jc w:val="center"/>
              <w:rPr>
                <w:kern w:val="0"/>
                <w:sz w:val="24"/>
                <w:szCs w:val="24"/>
              </w:rPr>
            </w:pPr>
            <w:r>
              <w:rPr>
                <w:rFonts w:hint="eastAsia" w:cs="仿宋"/>
                <w:kern w:val="0"/>
                <w:sz w:val="24"/>
                <w:szCs w:val="24"/>
              </w:rPr>
              <w:t>病死畜禽无害化设施</w:t>
            </w:r>
            <w:r>
              <w:rPr>
                <w:kern w:val="0"/>
                <w:sz w:val="24"/>
                <w:szCs w:val="24"/>
              </w:rPr>
              <w:t>1</w:t>
            </w:r>
            <w:r>
              <w:rPr>
                <w:rFonts w:hint="eastAsia" w:cs="仿宋"/>
                <w:kern w:val="0"/>
                <w:sz w:val="24"/>
                <w:szCs w:val="24"/>
              </w:rPr>
              <w:t>座</w:t>
            </w:r>
          </w:p>
        </w:tc>
        <w:tc>
          <w:tcPr>
            <w:tcW w:w="111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1799.75</w:t>
            </w:r>
          </w:p>
        </w:tc>
        <w:tc>
          <w:tcPr>
            <w:tcW w:w="1125" w:type="dxa"/>
            <w:vAlign w:val="center"/>
          </w:tcPr>
          <w:p>
            <w:pPr>
              <w:topLinePunct/>
              <w:adjustRightInd w:val="0"/>
              <w:snapToGrid w:val="0"/>
              <w:spacing w:line="240" w:lineRule="auto"/>
              <w:ind w:firstLine="0" w:firstLineChars="0"/>
              <w:jc w:val="center"/>
              <w:rPr>
                <w:kern w:val="0"/>
                <w:sz w:val="24"/>
                <w:szCs w:val="24"/>
              </w:rPr>
            </w:pPr>
          </w:p>
        </w:tc>
        <w:tc>
          <w:tcPr>
            <w:tcW w:w="996" w:type="dxa"/>
            <w:vAlign w:val="center"/>
          </w:tcPr>
          <w:p>
            <w:pPr>
              <w:topLinePunct/>
              <w:adjustRightInd w:val="0"/>
              <w:snapToGrid w:val="0"/>
              <w:spacing w:line="240" w:lineRule="auto"/>
              <w:ind w:firstLine="0" w:firstLineChars="0"/>
              <w:jc w:val="center"/>
              <w:rPr>
                <w:kern w:val="0"/>
                <w:sz w:val="24"/>
                <w:szCs w:val="24"/>
              </w:rPr>
            </w:pPr>
            <w:r>
              <w:rPr>
                <w:kern w:val="0"/>
                <w:sz w:val="24"/>
                <w:szCs w:val="24"/>
              </w:rPr>
              <w:t>1799.75</w:t>
            </w:r>
          </w:p>
        </w:tc>
        <w:tc>
          <w:tcPr>
            <w:tcW w:w="884" w:type="dxa"/>
            <w:vAlign w:val="center"/>
          </w:tcPr>
          <w:p>
            <w:pPr>
              <w:topLinePunct/>
              <w:adjustRightInd w:val="0"/>
              <w:snapToGrid w:val="0"/>
              <w:spacing w:line="240" w:lineRule="auto"/>
              <w:ind w:firstLine="0" w:firstLineChars="0"/>
              <w:jc w:val="center"/>
              <w:rPr>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2263" w:type="dxa"/>
            <w:vAlign w:val="center"/>
          </w:tcPr>
          <w:p>
            <w:pPr>
              <w:topLinePunct/>
              <w:adjustRightInd w:val="0"/>
              <w:snapToGrid w:val="0"/>
              <w:spacing w:line="240" w:lineRule="auto"/>
              <w:ind w:firstLine="0" w:firstLineChars="0"/>
              <w:jc w:val="center"/>
              <w:rPr>
                <w:b/>
                <w:bCs/>
                <w:kern w:val="0"/>
                <w:sz w:val="24"/>
                <w:szCs w:val="24"/>
              </w:rPr>
            </w:pPr>
            <w:r>
              <w:rPr>
                <w:rFonts w:hint="eastAsia" w:cs="仿宋"/>
                <w:b/>
                <w:bCs/>
                <w:kern w:val="0"/>
                <w:sz w:val="24"/>
                <w:szCs w:val="24"/>
              </w:rPr>
              <w:t>合计</w:t>
            </w:r>
          </w:p>
        </w:tc>
        <w:tc>
          <w:tcPr>
            <w:tcW w:w="1912" w:type="dxa"/>
            <w:vAlign w:val="center"/>
          </w:tcPr>
          <w:p>
            <w:pPr>
              <w:topLinePunct/>
              <w:adjustRightInd w:val="0"/>
              <w:snapToGrid w:val="0"/>
              <w:spacing w:line="240" w:lineRule="auto"/>
              <w:ind w:firstLine="0" w:firstLineChars="0"/>
              <w:jc w:val="center"/>
              <w:rPr>
                <w:b/>
                <w:bCs/>
                <w:kern w:val="0"/>
                <w:sz w:val="24"/>
                <w:szCs w:val="24"/>
              </w:rPr>
            </w:pPr>
          </w:p>
        </w:tc>
        <w:tc>
          <w:tcPr>
            <w:tcW w:w="1116" w:type="dxa"/>
            <w:vAlign w:val="center"/>
          </w:tcPr>
          <w:p>
            <w:pPr>
              <w:topLinePunct/>
              <w:adjustRightInd w:val="0"/>
              <w:snapToGrid w:val="0"/>
              <w:spacing w:line="240" w:lineRule="auto"/>
              <w:ind w:firstLine="0" w:firstLineChars="0"/>
              <w:jc w:val="center"/>
              <w:rPr>
                <w:b/>
                <w:bCs/>
                <w:kern w:val="0"/>
                <w:sz w:val="24"/>
                <w:szCs w:val="24"/>
              </w:rPr>
            </w:pPr>
            <w:bookmarkStart w:id="91" w:name="_Hlk89445152"/>
            <w:r>
              <w:rPr>
                <w:b/>
                <w:bCs/>
                <w:kern w:val="0"/>
                <w:sz w:val="24"/>
                <w:szCs w:val="24"/>
              </w:rPr>
              <w:t>48617.75</w:t>
            </w:r>
            <w:bookmarkEnd w:id="91"/>
          </w:p>
        </w:tc>
        <w:tc>
          <w:tcPr>
            <w:tcW w:w="1125" w:type="dxa"/>
            <w:vAlign w:val="center"/>
          </w:tcPr>
          <w:p>
            <w:pPr>
              <w:topLinePunct/>
              <w:adjustRightInd w:val="0"/>
              <w:snapToGrid w:val="0"/>
              <w:spacing w:line="240" w:lineRule="auto"/>
              <w:ind w:firstLine="0" w:firstLineChars="0"/>
              <w:jc w:val="center"/>
              <w:rPr>
                <w:b/>
                <w:bCs/>
                <w:kern w:val="0"/>
                <w:sz w:val="24"/>
                <w:szCs w:val="24"/>
              </w:rPr>
            </w:pPr>
            <w:r>
              <w:rPr>
                <w:b/>
                <w:bCs/>
                <w:kern w:val="0"/>
                <w:sz w:val="24"/>
                <w:szCs w:val="24"/>
              </w:rPr>
              <w:t>20342</w:t>
            </w:r>
          </w:p>
        </w:tc>
        <w:tc>
          <w:tcPr>
            <w:tcW w:w="996" w:type="dxa"/>
            <w:vAlign w:val="center"/>
          </w:tcPr>
          <w:p>
            <w:pPr>
              <w:topLinePunct/>
              <w:adjustRightInd w:val="0"/>
              <w:snapToGrid w:val="0"/>
              <w:spacing w:line="240" w:lineRule="auto"/>
              <w:ind w:firstLine="0" w:firstLineChars="0"/>
              <w:jc w:val="center"/>
              <w:rPr>
                <w:b/>
                <w:bCs/>
                <w:kern w:val="0"/>
                <w:sz w:val="24"/>
                <w:szCs w:val="24"/>
              </w:rPr>
            </w:pPr>
            <w:r>
              <w:rPr>
                <w:b/>
                <w:bCs/>
                <w:kern w:val="0"/>
                <w:sz w:val="24"/>
                <w:szCs w:val="24"/>
              </w:rPr>
              <w:t>5236.75</w:t>
            </w:r>
          </w:p>
        </w:tc>
        <w:tc>
          <w:tcPr>
            <w:tcW w:w="884" w:type="dxa"/>
            <w:vAlign w:val="center"/>
          </w:tcPr>
          <w:p>
            <w:pPr>
              <w:topLinePunct/>
              <w:adjustRightInd w:val="0"/>
              <w:snapToGrid w:val="0"/>
              <w:spacing w:line="240" w:lineRule="auto"/>
              <w:ind w:firstLine="0" w:firstLineChars="0"/>
              <w:jc w:val="center"/>
              <w:rPr>
                <w:b/>
                <w:bCs/>
                <w:kern w:val="0"/>
                <w:sz w:val="24"/>
                <w:szCs w:val="24"/>
              </w:rPr>
            </w:pPr>
            <w:r>
              <w:rPr>
                <w:b/>
                <w:bCs/>
                <w:kern w:val="0"/>
                <w:sz w:val="24"/>
                <w:szCs w:val="24"/>
              </w:rPr>
              <w:t>23039</w:t>
            </w:r>
          </w:p>
        </w:tc>
      </w:tr>
      <w:bookmarkEnd w:id="88"/>
      <w:bookmarkEnd w:id="89"/>
    </w:tbl>
    <w:p>
      <w:pPr>
        <w:pStyle w:val="3"/>
      </w:pPr>
      <w:bookmarkStart w:id="92" w:name="_Toc90558549"/>
      <w:r>
        <w:t>6.2</w:t>
      </w:r>
      <w:r>
        <w:rPr>
          <w:rFonts w:hint="eastAsia" w:cs="仿宋"/>
        </w:rPr>
        <w:t>效益分析</w:t>
      </w:r>
      <w:bookmarkEnd w:id="92"/>
    </w:p>
    <w:p>
      <w:pPr>
        <w:ind w:firstLine="31680"/>
      </w:pPr>
      <w:r>
        <w:rPr>
          <w:rFonts w:hint="eastAsia" w:cs="仿宋"/>
        </w:rPr>
        <w:t>推进污染物总量减排。通过实施规模养殖场（畜禽养殖户）养殖废弃物综合利用和污染治理设施建设进程。各类政策补贴和技术示范工程将继续发挥积极的引导、带动和辐射作用，提高养殖企业和养殖户自发治污减排的积极性，促进畜禽养殖业污染减排工作持续深入开展，巩固减排工作成效。</w:t>
      </w:r>
    </w:p>
    <w:p>
      <w:pPr>
        <w:ind w:firstLine="31680"/>
      </w:pPr>
      <w:r>
        <w:rPr>
          <w:rFonts w:hint="eastAsia" w:cs="仿宋"/>
        </w:rPr>
        <w:t>改善区域和农村生态环境质量。通过统筹安排、合理布局畜禽养殖废弃物综合利用和污染治理项目，能够在全市水污染防治重点流域和区域有效缓解农业面源污染、改善区域环境质量。通过依法划定禁养区并强化污染防治，对饮用水水源地等环境敏感区域进行重点整治，将有效提升农村饮用水安全保障水平，农村居民健康得到保障。</w:t>
      </w:r>
    </w:p>
    <w:p>
      <w:pPr>
        <w:ind w:firstLine="31680"/>
      </w:pPr>
      <w:r>
        <w:rPr>
          <w:rFonts w:hint="eastAsia" w:cs="仿宋"/>
        </w:rPr>
        <w:t>促进产业发展和农民增收。通过落实严格环境准入、强化污染源头管控、加强技术引导示范、推行清洁养殖方式等措施，将促进畜禽养殖业的结构调整和布局优化，引导产业生态化、规模化、集约化转型，增强可持续发展能力。有机肥生产、沼气能源工程建设，将促进废弃物综合利用和产业链有效延伸，提高农产品品质和价值，提升产业综合效益，拓宽农民创收渠道，增加农民收入。</w:t>
      </w:r>
    </w:p>
    <w:p>
      <w:pPr>
        <w:pStyle w:val="2"/>
      </w:pPr>
      <w:bookmarkStart w:id="93" w:name="_Toc90558550"/>
      <w:r>
        <w:t>7</w:t>
      </w:r>
      <w:r>
        <w:rPr>
          <w:rFonts w:hint="eastAsia" w:cs="仿宋"/>
        </w:rPr>
        <w:t>、保障措施</w:t>
      </w:r>
      <w:bookmarkEnd w:id="93"/>
    </w:p>
    <w:p>
      <w:pPr>
        <w:pStyle w:val="3"/>
      </w:pPr>
      <w:bookmarkStart w:id="94" w:name="_Toc90558551"/>
      <w:bookmarkStart w:id="95" w:name="_Hlk76980625"/>
      <w:r>
        <w:t>7.1</w:t>
      </w:r>
      <w:r>
        <w:rPr>
          <w:rFonts w:hint="eastAsia" w:cs="仿宋"/>
        </w:rPr>
        <w:t>加强领导，严格目标考核</w:t>
      </w:r>
      <w:bookmarkEnd w:id="94"/>
    </w:p>
    <w:p>
      <w:pPr>
        <w:ind w:firstLine="31680"/>
      </w:pPr>
      <w:r>
        <w:rPr>
          <w:rFonts w:hint="eastAsia" w:cs="仿宋"/>
        </w:rPr>
        <w:t>区（县、市）政府要进一步加强对畜禽养殖污染防治工作的组织领导，加强污染防治工作协调，建立有效的部门沟通协作机制，按照部门职责分工，分解落实畜禽养殖污染防治任务，实现资源和信息共享，形成部门合力。将畜禽养殖污染防治任务完成情况作为政府年度目标责任考核的重要内容，层层明确目标任务，落实防治工作责任，并根据目标任务完成情况采取相应的奖惩措施。</w:t>
      </w:r>
    </w:p>
    <w:p>
      <w:pPr>
        <w:pStyle w:val="3"/>
      </w:pPr>
      <w:bookmarkStart w:id="96" w:name="_Toc90558552"/>
      <w:r>
        <w:t>7.2</w:t>
      </w:r>
      <w:r>
        <w:rPr>
          <w:rFonts w:hint="eastAsia" w:cs="仿宋"/>
        </w:rPr>
        <w:t>明确重点，细化措施落实</w:t>
      </w:r>
      <w:bookmarkEnd w:id="96"/>
    </w:p>
    <w:p>
      <w:pPr>
        <w:ind w:firstLine="31680"/>
      </w:pPr>
      <w:r>
        <w:rPr>
          <w:rFonts w:hint="eastAsia" w:cs="仿宋"/>
        </w:rPr>
        <w:t>区（县、市）政府要突出重点，明确治理任务及进度，加强对重点地区的监督指导和政策扶持。通过多部门联合监督、专项监督和日常性监督等多种监管方式加大畜禽养殖污染日常监督和执法管理，加快各地畜禽养殖污染治理设施建设。加强对畜禽养殖业污染减排项目的督查和调度，确保完成减排目标任务。采取多种检查方式，重点加强对已完成治理的规模畜禽养殖场以及畜禽粪便收集处理设施的现场监督，对偷排、漏排、直排等违法行为依法严厉查处。将畜禽养殖污染治理与生态创建、各类农业财政扶持资格、各类生态环保评优等挂钩，不断加大综合整治力度。</w:t>
      </w:r>
    </w:p>
    <w:p>
      <w:pPr>
        <w:pStyle w:val="3"/>
      </w:pPr>
      <w:bookmarkStart w:id="97" w:name="_Toc90558553"/>
      <w:r>
        <w:t>7.3</w:t>
      </w:r>
      <w:r>
        <w:rPr>
          <w:rFonts w:hint="eastAsia" w:cs="仿宋"/>
        </w:rPr>
        <w:t>增加投入，加大政策扶持</w:t>
      </w:r>
      <w:bookmarkEnd w:id="97"/>
    </w:p>
    <w:p>
      <w:pPr>
        <w:ind w:firstLine="31680"/>
      </w:pPr>
      <w:r>
        <w:rPr>
          <w:rFonts w:hint="eastAsia" w:cs="仿宋"/>
        </w:rPr>
        <w:t>逐步加大对畜禽养殖污染防治工作的资金投入，加大对生态畜牧业建设的政策扶持，研究畜禽污染治理贷补贴政策，对有机肥产品生产、经营、沼液收集处理等畜禽养殖废弃物综合利用及无害化处置等活动享受税收优惠政策。优先制定和实施针对畜禽养殖废弃物减量化、沼气发电和有机肥生产使用等废弃物资源化利用、污染治理设施建设和运营等优惠和扶持措施。鼓励养殖企业与高校、科研院所合作，通过技术研发和生产实践，创新畜禽养殖污染防治的新方法、新途径。</w:t>
      </w:r>
    </w:p>
    <w:p>
      <w:pPr>
        <w:pStyle w:val="3"/>
      </w:pPr>
      <w:bookmarkStart w:id="98" w:name="_Toc90558554"/>
      <w:r>
        <w:t>7.4</w:t>
      </w:r>
      <w:r>
        <w:rPr>
          <w:rFonts w:hint="eastAsia" w:cs="仿宋"/>
        </w:rPr>
        <w:t>加大宣传，营造治理气氛</w:t>
      </w:r>
      <w:bookmarkEnd w:id="98"/>
    </w:p>
    <w:p>
      <w:pPr>
        <w:ind w:firstLine="31680"/>
      </w:pPr>
      <w:r>
        <w:rPr>
          <w:rFonts w:hint="eastAsia" w:cs="仿宋"/>
        </w:rPr>
        <w:t>积极开展畜禽养殖污染防治工作的宣传教育，营造良好的舆论氛围。通过广播、电视、报刊、网络、微博、微信等不同媒介，开展畜禽养殖污染防治的舆论宣传，切实提高规模养殖场（畜禽养殖户）和广大群众的环保意识。对治理不力、严重污染水环境的生产主体进行曝光，赢得舆论宣传工作的主动权。积极鼓励村民自治组织和畜禽养殖协会制定相关规程，规范畜禽养殖行为，进一步提高广大养殖户和人民群众的责任意识和主人翁意识，形成群防群治畜禽养殖污染的良好氛围。</w:t>
      </w:r>
      <w:bookmarkEnd w:id="95"/>
    </w:p>
    <w:p>
      <w:pPr>
        <w:widowControl/>
        <w:spacing w:line="240" w:lineRule="auto"/>
        <w:ind w:firstLine="0" w:firstLineChars="0"/>
        <w:jc w:val="left"/>
        <w:sectPr>
          <w:headerReference r:id="rId9" w:type="default"/>
          <w:footerReference r:id="rId10" w:type="default"/>
          <w:pgSz w:w="11906" w:h="16838"/>
          <w:pgMar w:top="1440" w:right="1800" w:bottom="1440" w:left="1800" w:header="851" w:footer="794" w:gutter="0"/>
          <w:pgNumType w:start="1"/>
          <w:cols w:space="425" w:num="1"/>
          <w:docGrid w:type="lines" w:linePitch="381" w:charSpace="0"/>
        </w:sectPr>
      </w:pPr>
      <w:r>
        <w:br w:type="page"/>
      </w:r>
    </w:p>
    <w:p>
      <w:pPr>
        <w:pStyle w:val="3"/>
      </w:pPr>
      <w:bookmarkStart w:id="99" w:name="_Toc90558555"/>
      <w:r>
        <w:rPr>
          <w:rFonts w:hint="eastAsia" w:cs="仿宋"/>
        </w:rPr>
        <w:t>附表</w:t>
      </w:r>
      <w:r>
        <w:t>1</w:t>
      </w:r>
      <w:r>
        <w:rPr>
          <w:rFonts w:hint="eastAsia" w:cs="仿宋"/>
        </w:rPr>
        <w:t>区域规模养殖场基本信息清单</w:t>
      </w:r>
      <w:bookmarkEnd w:id="99"/>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1072"/>
        <w:gridCol w:w="982"/>
        <w:gridCol w:w="2773"/>
        <w:gridCol w:w="2228"/>
        <w:gridCol w:w="976"/>
        <w:gridCol w:w="1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序号</w:t>
            </w:r>
          </w:p>
        </w:tc>
        <w:tc>
          <w:tcPr>
            <w:tcW w:w="538"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市名称</w:t>
            </w:r>
          </w:p>
        </w:tc>
        <w:tc>
          <w:tcPr>
            <w:tcW w:w="493"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县名称</w:t>
            </w:r>
          </w:p>
        </w:tc>
        <w:tc>
          <w:tcPr>
            <w:tcW w:w="1392"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养殖场名称</w:t>
            </w:r>
          </w:p>
        </w:tc>
        <w:tc>
          <w:tcPr>
            <w:tcW w:w="1118"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养殖场地址</w:t>
            </w:r>
          </w:p>
        </w:tc>
        <w:tc>
          <w:tcPr>
            <w:tcW w:w="490"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养殖畜种</w:t>
            </w:r>
          </w:p>
        </w:tc>
        <w:tc>
          <w:tcPr>
            <w:tcW w:w="607" w:type="pct"/>
            <w:vAlign w:val="center"/>
          </w:tcPr>
          <w:p>
            <w:pPr>
              <w:widowControl/>
              <w:spacing w:line="240" w:lineRule="auto"/>
              <w:ind w:firstLine="0" w:firstLineChars="0"/>
              <w:jc w:val="center"/>
              <w:rPr>
                <w:rFonts w:ascii="宋体" w:hAnsi="宋体" w:eastAsia="宋体"/>
                <w:b/>
                <w:bCs/>
                <w:kern w:val="0"/>
                <w:sz w:val="21"/>
                <w:szCs w:val="21"/>
              </w:rPr>
            </w:pPr>
            <w:r>
              <w:rPr>
                <w:rFonts w:hint="eastAsia" w:ascii="宋体" w:hAnsi="宋体" w:eastAsia="宋体" w:cs="宋体"/>
                <w:b/>
                <w:bCs/>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铁西区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沈阳市铁西区汇鑫奶牛养殖场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沈阳市经济技术开发区四方台镇</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铁西区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沈阳市淑珍进口种牛养殖专业合作社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沈阳市经济技术开发区长滩镇东街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铁西区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沈阳经济技术开发区大潘春吉养猪场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沈阳市铁西区大潘街道小潘村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铁西区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沈阳市铁西区华山养殖场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沈阳市铁西区四方台镇胜利村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沈阳市盛达园牧场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沈阳市苏家屯区陈相街道塔山社区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葛洪宇</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苏家区沙河街道前桑村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沈阳市鸿发猪场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沈阳市苏家屯区八一街道武镇营村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吴英汉</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沈阳市苏家屯区十里河街道柳沟村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沈阳泰添牧业有限公司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沈阳市苏家屯区姚千街道佟家村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辽宁正大畜禽有限公司苏家屯分公司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沈阳市苏家屯区大沟街道莽公村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沈阳市苏家屯区谷英黑猪养殖场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苏家屯区临湖街道西苏村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沈阳市苏家屯区洪芬肉种鸡养殖场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沈阳市苏家屯区大沟街道团山村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沈阳炜祥养猪场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沈阳市苏家屯区八一街道武镇营村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沈阳三通牧业有限公司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沈阳市苏家屯区白清寨乡白清寨村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沈阳市东辉养殖场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沈阳市苏家屯区陈相街道蛇山村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沈阳市金羽丰畜禽有限公司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沈阳市苏家屯区大沟街道宁官村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沈阳市苏家屯区李红光种鸡场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沈阳市苏家屯区姚千街道办事处代官村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沈阳市乐乐牧业有限公司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沈阳市苏家屯区八一街道来胜堡村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沈阳市君玲种猪场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沈阳市苏家屯区姚千街道</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沈阳隆诚牧业有限公司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沈阳市苏家屯区八一街道佟罗村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沈阳市苏家屯区鑫吉祥养殖场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辽宁省苏家屯区林盛街道吉祥屯村委会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沈阳市苏家屯区镇东养殖场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辽宁省苏家屯区十里河街道浪子街村委会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沈阳益盈养殖专业合作社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沈阳市苏家屯区姚千街道佟家村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沈阳市正东升种猪场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沈阳市苏家屯区王纲街道办事处王纲村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沈阳市苏家屯区伟峰种鸡场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苏家屯区临湖街道西苏村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沈阳市苏家屯区隆嘉牧业有限公司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苏家屯区临湖街道北营子村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沈阳市信生肉种鸡场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苏家屯区临湖街道西苏村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沈阳市亿丰牧业有限公司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沈阳市苏家屯区八一街道仁而村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沈阳耘垦有限公司大沟养鸡场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苏家屯区沙河街道佟古家子村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本溪木兰花乳业奶牛养殖场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沈阳市苏家屯区陈相街道蛇山村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沈阳市汉艳蛋鸡养殖场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沈阳市苏家屯区大沟街道菜屯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沈阳林盛生态养殖场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苏家屯区林盛街道英窝村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羿文科</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沈阳市苏家屯区永乐街道小韩台村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张素兰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姚千街道刘千村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李玉福</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姚千街道小卜村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沈阳亚蒂畜牧有限公司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姚千街道刘千户村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辽宁大北农畜牧有限公司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苏家屯区永乐街道杨树林村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沈阳市木春牧业有限公司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苏家屯区八一街道武镇营村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沈阳市宝尔种鸡场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苏家屯区八一街道佟罗村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沈阳李相畜牧养殖有限公司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李相街道三家寨村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沈阳市方瑞牧业有限公司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祝家街道沙河子村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沈阳市东陵区天意缘养殖场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李相街道王士兰村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沈阳滨东牧业有限公司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王滨街道大乐村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沈阳市盛康园生态养殖有限公司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王滨街道前康村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沈阳市伟业肉羊养殖场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浑南区祝家街道佟家峪村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沈阳市绒兴绒山羊养殖场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浑南区王滨街道尖山子村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沈阳市东陵区张敏杰家庭养殖农场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深井子街道于胜村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浑南区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沈阳市东陵区山城子养猪场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沈阳市浑南区祝家街道山城子村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辽宁正大畜禽有限公司兴隆种猪场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辽宁省沈阳市沈北新区兴隆台镇兴隆台街道烟台社区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辽宁正大畜禽有限公司郎士屯种猪场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辽宁省沈阳市沈北新区财落街道财落街道郎士屯社区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辽宁正大畜禽有限公司财落种猪场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辽宁省沈阳市沈北新区财落街道财落街道财落一社区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沈阳恒泰牧业有限公司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辽宁省沈阳市沈北新区马刚街道苇塘社区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辽宁世领自营牧场有限公司立新奶牛养殖场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沈北新区石佛寺街道立新村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辽宁世领自营牧场有限公司曙光奶牛养殖场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沈北新区尹家街道曙光村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沈阳市武顺牧业有限公司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沈北新区兴隆台镇十二家子村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辽宁世领自营牧场有限公司朱家堡奶牛养殖场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沈北新区清泉街道朱家堡村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沈阳市沈北新区隆顺奶牛场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沈北新区财落镇得胜台村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沈阳市沈北新区天益养殖场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沈阳市沈北新区沈北街道北四家子村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59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沈阳市沈北新区高力屯肉种鸡场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沈阳市沈北新区沈北街道高力屯村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沈阳豪杰肉种鸡场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沈阳市沈北新区清泉街道湾道村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沈阳幸福农场养殖有限公司肉种鸡场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沈阳市沈北新区马刚街道铁营子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沈阳幸福农场养殖有限公司肉鸡八场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沈阳市沈北新区马刚街道王岗台村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沈阳泰丰牧业有限公司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沈北新区财落街道营盘村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沈阳市隆瑞牧业有限公司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沈北新区财落街道营盘村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沈阳大辛牧业有限公司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沈北新区财落街道大辛二社区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辽宁辉山乳业集团汪盛牧业有限公司马古奶牛养殖场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沈北新区财落街道马古村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沈阳华美畜禽有限公司蛋鸡养殖基地二场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辽宁省沈阳市沈北新区辉山街道赵家沟街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沈阳幸福农场养殖有限公司黄家鸡场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沈阳市沈北新区黄家乡何付村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69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沈阳市家成养猪场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沈阳市沈北新区财落街道财落一社区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沈阳鸿晟农牧科技有限公司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沈阳市沈北新区黄家街道高坎村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沈阳华美畜禽有限公司蛋鸡养殖基地七场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沈阳市沈北新区赵家沟街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张群</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沈阳市沈北新区财落街道大辛二村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沈阳市畜牧兽医科学研究所金龙翔种猪种鸡繁育中心</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沈北新区马刚街道马刚村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宋红杰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沈北新区财落街道营盘村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沈阳华美畜禽有限公司蛋鸡养殖基地五场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沈北新区辉山街道张石沟村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沈阳森阳牧业有限公司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辽宁省沈北新区马刚街道苇塘沟社区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沈阳华美畜禽有限公司蛋鸡养殖基地六场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沈北新区辉山街道腰沟村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沈阳禾丰禽业有限公司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沈阳市沈北新区马刚街道马刚社区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79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沈阳华美畜禽有限公司蛋鸡养殖基地九场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沈北新区辉山街道赵家沟街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沈阳幸福农场养殖有限公司旁风养殖基地（肉鸡十场）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沈阳市沈北新区清泉街道旁风村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白常福</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沈北新区辉山街道大望村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沈阳市群盛养殖公司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平罗街道西三台子村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光辉宏力奶牛场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沈阳市于洪区光辉街道两家子村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沈阳市超达种鸡场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平罗街道达连村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沈阳金畜养殖场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沈阳市于洪区马三家街道马三家村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沈阳市于洪区景阳养殖场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造化街道上蒲河村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沈阳市新鸿鑫农牧业专业合作社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沈阳市于洪区光辉街道永光村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瑞达蛋鸡养殖场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辽宁省于洪区沙岭街道沙岭村委会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89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沈阳海辉养鸡场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于洪区大兴街道大兴村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沈阳市淇森牧场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沈阳市于洪区大兴街道陈孤家子村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沈阳市三源禽业养殖场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辽中县大黑岗子乡大黑镇赵家窝棚村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沈阳市众鑫家禽饲养专业合作社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茨榆坨镇后岭村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沈阳鑫品畜牧有限公司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六间房镇马三家村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辽中县东裕养殖场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辽中县城郊镇团结村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马振忠</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城南村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赵树新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城北村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张万全</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敖司牛村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沈阳万全种禽有限公司</w:t>
            </w:r>
            <w:r>
              <w:rPr>
                <w:rFonts w:ascii="宋体" w:hAnsi="宋体" w:eastAsia="宋体" w:cs="宋体"/>
                <w:kern w:val="0"/>
                <w:sz w:val="21"/>
                <w:szCs w:val="21"/>
              </w:rPr>
              <w:t>1</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养士堡镇养后</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99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沈阳万全种禽有限公司</w:t>
            </w:r>
            <w:r>
              <w:rPr>
                <w:rFonts w:ascii="宋体" w:hAnsi="宋体" w:eastAsia="宋体" w:cs="宋体"/>
                <w:kern w:val="0"/>
                <w:sz w:val="21"/>
                <w:szCs w:val="21"/>
              </w:rPr>
              <w:t>2</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养士堡镇养后</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沈阳树新畜牧有限公司</w:t>
            </w:r>
            <w:r>
              <w:rPr>
                <w:rFonts w:ascii="宋体" w:hAnsi="宋体" w:eastAsia="宋体" w:cs="宋体"/>
                <w:kern w:val="0"/>
                <w:sz w:val="21"/>
                <w:szCs w:val="21"/>
              </w:rPr>
              <w:t>2</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养士堡镇腰屯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沈阳万全种禽有限公司</w:t>
            </w:r>
            <w:r>
              <w:rPr>
                <w:rFonts w:ascii="宋体" w:hAnsi="宋体" w:eastAsia="宋体" w:cs="宋体"/>
                <w:kern w:val="0"/>
                <w:sz w:val="21"/>
                <w:szCs w:val="21"/>
              </w:rPr>
              <w:t>3</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养士堡镇腰屯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沈阳市辽中区耘垦养殖有限公司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沈阳市辽中区牛心坨镇榆树底村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王凯</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老观坨村</w:t>
            </w:r>
            <w:r>
              <w:rPr>
                <w:rFonts w:ascii="宋体" w:hAnsi="宋体" w:eastAsia="宋体" w:cs="宋体"/>
                <w:kern w:val="0"/>
                <w:sz w:val="21"/>
                <w:szCs w:val="21"/>
              </w:rPr>
              <w:t>4</w:t>
            </w:r>
            <w:r>
              <w:rPr>
                <w:rFonts w:hint="eastAsia" w:ascii="宋体" w:hAnsi="宋体" w:eastAsia="宋体" w:cs="宋体"/>
                <w:kern w:val="0"/>
                <w:sz w:val="21"/>
                <w:szCs w:val="21"/>
              </w:rPr>
              <w:t>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辽中县茨榆坨镇华洪养殖场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茨榆坨太平村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辽中县佳兴肉鸡养殖场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冷子堡镇古城</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沈阳佳昌肉鸡饲养有限公司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冷子堡镇古城</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辽中县冷子堡镇顺达肉鸡养殖场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冷子堡镇黄东</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辽中县鹏源肉鸡养殖场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冷子堡镇黄东</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109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辽中县宏丰肉鸡养殖场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冷子堡镇黄东</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福雨林</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辽中县佳强肉鸡养殖场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辽中区潘家堡镇于台村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辽中县柱保肉鸡养殖场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辽中区潘家堡镇于台村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昌盛养殖场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茨榆坨镇第二社区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恒昌养殖场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茨榆坨镇第二社区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祝章养殖场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茨榆坨镇第二社区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沈阳盛华养殖场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茨榆坨镇第二社区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玉良肉牛养殖场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朱家房镇侯头沟村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沈阳市红顺发养殖场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朱家房镇腰截子村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119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辽中县朱家房镇陈鹏肉牛养殖场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朱家房镇侯头沟村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辽宁恩多牧业科技有限公司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辽中区刘二堡镇刘南村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沈阳笑笑养殖场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养士堡镇王家岗村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辽中县水平养殖基地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养士堡镇四合村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沈阳树新畜牧有限公司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养士堡镇腰屯村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辽中区牛心坨镇二道房养猪场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沈阳市辽中区牛心坨镇二道房村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辽中县牛心坨镇纪龙养猪场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沈阳市辽中区牛心坨镇小黑岗村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沈阳吉嘉养猪场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辽中区杨士岗镇邢柏窑村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辽中县王静良种猪繁育商品猪养殖场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辽中区刘二堡镇叔家庵村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辽中县老大房镇永恒养殖场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老大房镇大树林村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129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辽中县大黑岗子镇鸿野养殖场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大黑岗子乡方家村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辽中县永日养殖场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于家房镇漾子泡村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辽中县德运种猪场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六间房镇六间房村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辽中县闫玉琢养殖场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六间房镇长岗子村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沈阳市辽中区贺波养猪场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满都户镇满西村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年国海</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妈妈街村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杨春哲</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妈妈街村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王东</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妈妈街村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高红军</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沈阳弘运达牧业有限公司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辽中县老大房镇孟家村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139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辽中县汇恒种鸡养殖场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辽中区潘家堡镇于家台村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沈阳领头羊牧业有限公司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沈阳市辽中区潘家堡镇潘家堡村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辽中县朱家房镇石玉峰肉牛养殖场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朱家房镇侯头沟村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沈阳市昌都生态养殖场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辽宁省辽中区朱家房镇朱家房社区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沈阳市辽中区丽英养殖场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辽宁省辽中区朱家房镇艾蒿沟村委会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沈阳永达牧业有限公司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辽中区刘二堡镇后岗村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沈阳喜加喜猪业有限公司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辽中区潘家堡镇潘家堡村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沈阳市辽中区赢达养殖场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肖寨门镇大兰坨村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辽中县彤昊奶牛场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冷子堡镇人合村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辽中县银和奶牛场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冷子堡镇人合村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149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金菊养殖场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冷子堡镇黄东</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辽中县天儒肉牛养殖场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冷子堡镇业兴</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沈阳市双龙肉种禽养殖基地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茨榆坨镇第二社区村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傅林养殖场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沈阳市辽中区思源肉鸡养殖场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辽中区刘二堡镇东高村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辽中区大成养鸡专业合作社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刘二堡镇东高村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李洪志</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大黑镇赵家村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刘德才</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辽宁省辽中区茨榆坨街道办事处赵寇村委会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蒲树勇</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六间房镇许家村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姚忱</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辽宁省辽中区茨榆坨街道办事处太平村委会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159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潘光石</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李成刚</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郭福鑫</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何福伦</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六间房村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王兰岩</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肖兰坨村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李勇</w:t>
            </w:r>
            <w:r>
              <w:rPr>
                <w:rFonts w:ascii="宋体" w:hAnsi="宋体" w:eastAsia="宋体" w:cs="宋体"/>
                <w:kern w:val="0"/>
                <w:sz w:val="21"/>
                <w:szCs w:val="21"/>
              </w:rPr>
              <w:t>1</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范家村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计艳杰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辽宁省辽中区六间房镇马家房村委会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沈阳辽中区运生猪业有限公司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沈阳市辽中区养士堡镇白家岗村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肇颖</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肖华</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169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关圣献</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于家房</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程春</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沈阳市辽中区养士堡镇养前村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程世泓</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沈阳市辽中区冷子堡镇冷前村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王洪</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南长岗子村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黄晨</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黄旗堡村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卢文海</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茨榆坨</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尹国良</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卡北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夏志宁</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漾子泡</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于志远</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小黑岗子村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王向忠养猪场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老观坨村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179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崔庆伟养猪场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七南村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崔雷</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插拉</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赵明</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沈阳市辽中区冷子堡镇黄东村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刘英全养猪场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肖兰坨村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刘力成</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辽宁省辽中区茨榆坨街道办事处太平村委会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葛新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下万子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韩洋洋</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大邦牛</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赵红娇</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大邦牛</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高阳</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下万子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刁伟山</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下万子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189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张继涛</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下万子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李英梅养猪场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三南村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张松养猪场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三南村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王丽红</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养士堡镇养后村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张志伟</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付家屯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赵云涛</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付家屯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沈阳市辽中区佳禾养殖场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南长岗子村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范奎成</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团结村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赵国飞</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团结村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卢金涛</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辽宁省辽中区茨榆坨街道办事处太平村委会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199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王印威</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李洪祥</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梁亚男</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郑晓峰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吝新娟</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宋晓亮</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孙亮（久才）</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久才</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伊童</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李文才</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209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王宝连</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佟克辉养猪场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七南村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王怀波</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吴凤伟</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郭成刚养猪场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肖北村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王猛（双山子）</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双山子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单庆武</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双山子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张云霄</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双山子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智桂君养猪场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沙西村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苏鹏飞</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养士堡镇养前村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219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刘磊</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辽宁省辽中区茨榆坨街道办事处偏堡子村委会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王新龙养猪场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辽宁省辽中区肖寨门镇肖兰坨村委会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薛宗财</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辽宁省辽中区茨榆坨街道办事处太平村委会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辽中区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沈阳市辽中区鑫广源养殖场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辽宁省辽中区潘家堡镇于家台村委会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鑫久牧牧业有限公司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康平县小城子镇赵家店村五组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祺州黄牛养殖场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康平县郝官屯镇小塔子村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康平县标兵裕农种植专业合作社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康平县方家屯镇王家窝堡村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沈阳康首生态养殖有限公司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三台子畜牧场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康平县文兴牧业（蓝翔养殖场）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北四家子乡石治玉村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东关屯镇企胜养殖场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康平镇东关屯镇淘岱屯村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229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众城养殖场（国立养猪小区）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康平县小城子乡赵家店村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辽宁辉山乳业集团恒丰牧业有限公司（方家十家子牛场）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康平县方家屯镇十家子村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康平县凤宇养殖场（前山苏福春养殖场）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柳树乡前山村五组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康平县新希望农牧有限公司康平县北三家子启智养殖场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辽宁省康平县北三家子街道辽宁省康平监狱社区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孙白富民养猪场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康平县东关街道孙白村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三合养殖场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康平县张强镇后辛屯村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广汇养殖场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西关乡小辛屯村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兴盛养殖场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两家子乡刘家村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玉良养殖场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康平县二牛镇大莫村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郝官霄雷养殖场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康平县郝官镇钱家村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239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旭仁达养殖场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方家镇十家村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康平县兴辉养殖场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康平县二牛镇二牛村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康平县荣飞黄牛养殖场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辽宁省康平县郝官屯镇刘家屯村委会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康平新望农牧有限公司康平康家望种猪场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辽宁省康平县北三家子街道兴隆洼村委会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动发农业养殖专业合作社（王会民养猪小区）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东关镇三台子村一组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艳侠养猪场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郝官镇郝官村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洪明种猪场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张强镇两家子村三组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嘉轩养殖场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西关屯乡姜家沟村五组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福仓猪场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开发区马莲村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福兴养殖场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山东屯乡辽阳村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249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田家村养猪小区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两家子乡田家村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贵涛养羊小区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沈阳市康平县二牛镇李家村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鼎泰养殖专业合作社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沈阳市康平县二牛镇大王村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辉山恒丰牧业（沈阳）有限公司唐僧庙</w:t>
            </w:r>
            <w:r>
              <w:rPr>
                <w:rFonts w:ascii="宋体" w:hAnsi="宋体" w:eastAsia="宋体" w:cs="宋体"/>
                <w:kern w:val="0"/>
                <w:sz w:val="21"/>
                <w:szCs w:val="21"/>
              </w:rPr>
              <w:t>3000</w:t>
            </w:r>
            <w:r>
              <w:rPr>
                <w:rFonts w:hint="eastAsia" w:ascii="宋体" w:hAnsi="宋体" w:eastAsia="宋体" w:cs="宋体"/>
                <w:kern w:val="0"/>
                <w:sz w:val="21"/>
                <w:szCs w:val="21"/>
              </w:rPr>
              <w:t>头成母牛现代化养殖场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康平县张强镇唐僧庙奶牛场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辽宁辉山乳业集团恒丰牧业有限公司（东贾家）</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康平县两家子乡东贾家牛场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辉山沙金牧业（沈阳）有限公司石头</w:t>
            </w:r>
            <w:r>
              <w:rPr>
                <w:rFonts w:ascii="宋体" w:hAnsi="宋体" w:eastAsia="宋体" w:cs="宋体"/>
                <w:kern w:val="0"/>
                <w:sz w:val="21"/>
                <w:szCs w:val="21"/>
              </w:rPr>
              <w:t>3000</w:t>
            </w:r>
            <w:r>
              <w:rPr>
                <w:rFonts w:hint="eastAsia" w:ascii="宋体" w:hAnsi="宋体" w:eastAsia="宋体" w:cs="宋体"/>
                <w:kern w:val="0"/>
                <w:sz w:val="21"/>
                <w:szCs w:val="21"/>
              </w:rPr>
              <w:t>头成母牛现代化养殖场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康平县沙金台蒙古族满族乡石头井子村石头牛场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辽宁辉山乳业集团恒丰牧业有限公司（前双山子）</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康平县两家子乡两家子牛场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辽宁辉山乳业集团金星牧业有限公司（柳树牛场）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辽宁省沈阳市康平县柳树屯蒙古族满族乡柳树村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大兴种鸡场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北四家子乡三合堡村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刀兰养猪小区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开发区刀兰村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259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绿色原野康大养殖场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开发区八家子村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兴牧肉鸡养殖专业合作社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开发区八家子村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唐增财养殖小区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东关镇陶岱屯村二组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康平县前铁养殖场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康平镇文华村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王阳蛋鸡养殖场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康平镇文华村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东伟养殖场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两家子乡田家村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宏浩养殖小区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两家子乡聂家村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春峰养殖场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程家村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相利养殖场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东关镇三台子村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霄雷养殖场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西关屯乡小辛屯村三组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269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柳树乡李秀肉鸡养殖小区（花古村东丰）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柳树乡花古村四组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前陵肉鸡小区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柳树乡前陵屯二组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大广宁养殖场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西关乡大广宁村二组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西关乡姜桂芬肉鸡养殖专业合作社（利民养殖场）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西关乡大辛屯村五组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凤芹养殖厂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两家子乡聂家村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国祥养殖小区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小城子村河南</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小城子镇牧雨禾肉鸡养殖场（农丰养殖场）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小城子镇四间房村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金芗源绿色生态肉鸡养殖小区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沙金乡西一棵树村四组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光辉肉鸡饲养场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大王村三组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鹤达养殖场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二牛镇大王村四组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279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兴发养殖场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海洲乡海洲村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田家养殖小区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两家子乡田家村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康平县小城子镇盛旺养殖场（白家养殖小区）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小城子镇白家村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永魁养牛小区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沙金乡东扎气村一组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友诚肉牛养殖小区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两家子乡前双山子村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薛振学肉牛养殖场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张强镇后辛屯村二组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勇民养殖小区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柳树乡赵家村六组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前山村兴达养羊小区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柳树乡前山村五组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东泽牧业养殖场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康平县海洲乡育林村二组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展望养殖场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二牛镇敖汉村五组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289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士龙养羊小区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东升乡历家村四组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旭锦兴农牧业有限公司（原旭达冠养殖场）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小城子镇四间房村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康平县利娟长兴肉羊养殖专业合作社（张艳娟养羊小区）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柳树乡柳树村二组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溢丰养殖场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西关屯乡姜家沟村三组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永先猪场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二牛镇二牛村五组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沈阳市康平县海洲乡华兴种猪繁育场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康平县海洲乡袁家村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金秀范养殖场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海洲乡育林村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辽宁牧合家畜牧科技有限公司郝官肉牛场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康平县郝官镇孙家屯村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沈阳市康平县辽宁牧合家禽科技有限公司（刘木匠牛场）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康平县沙金台乡刘木匠村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辽宁牧合家畜牧科技有限公司曹家肉牛场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康平县小城子镇曹家窝棚村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299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辽宁畜牧科技有限公司（富裕牛场）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康平县小城子镇富裕村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利源养殖场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康平县农业经济技术开发中心齐连发组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沙金乡双庙子肉羊养殖小区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沈阳市康平县沙金乡双庙子村五组</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飞龙养殖场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康平县东升乡东升村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湧鑫牧业有限公司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冯贝堡镇务名屯村北甸子</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法库县路家房申养牛场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大孤家子镇路房申村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登仕堡现代化奶牛养殖场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法库县登仕堡镇登仕堡村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秀水现代化奶牛养殖场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法库县秀水河子镇前秀水河子村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王树行子现代化奶牛养殖场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法库县秀水河子镇王树行子村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石桩子现代化奶牛养殖场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法库县叶茂台镇石桩子村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309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孙家屯现代化奶牛养殖场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法库县卧牛石乡孙家屯村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彭家现代化奶牛养殖场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法库县秀水河子镇彭家卜村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榆树坨子现代化奶牛养殖场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法库县包家屯乡榆树坨子村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大三家子现代化奶牛养殖场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法库县包家屯乡大三家子村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双台子现代化奶牛养殖场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法库县双台子乡双台子村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太平山现代化奶牛养殖场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法库县叶茂台镇太平山村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哈户硕现代化奶牛养殖场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法库县卧牛石镇哈户硕村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八家子现代化奶牛养殖场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法库县秀水河子镇八家子村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杨家堡现代化奶牛养殖场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法库县秀水河子镇杨家堡村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四架山现代化奶牛养殖场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法库县叶茂台镇四架山村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319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靠边屯现代化奶牛养殖场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法库县双台子乡靠边屯村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吕家堡现代化奶牛养殖场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法库县秀水河子镇吕家堡村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腰达房现代化奶牛养殖场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法库县包家屯乡腰达房村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拉马章现代化奶牛养殖场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法库县包家屯乡拉马章村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七家子现代化奶牛养殖场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法库县双台子乡七家子村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庙台山现代化奶牛养殖场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法库县叶茂台镇庙台山村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大康现代化奶牛养殖场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法库县三面船镇大康堡村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敖牛堡现代化奶牛养殖场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法库县大孤家子镇敖牛堡村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法库晟楠养殖场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孟家镇孤树子村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团山子现代化奶牛养殖场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法库县双台子乡团山子村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329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麻子泡现代化奶牛养殖场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法库县卧牛石乡麻子泡村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栖霞堡现代化奶牛养殖场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法库县三面船镇栖霞堡村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李家堡现代化奶牛养殖场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法库县卧牛石李家堡</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百信刘肉鸡养殖场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法库县和平乡曹四家子村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法库县凤兴牧业有限公司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柏家沟镇头台子村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法库县双台子乡大伟养猪专业合作社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双台子乡团山子村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法库县印军生猪养殖专业合作社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双台子乡团山子村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宝隆牧业有限公司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冯贝堡镇黄贝卜村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沈阳九欣牧业有限公司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孟家镇东岗子村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俊峰肉鸡养殖小区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孟家镇徐三家子村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339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沈阳宏源生态农业科技有限公司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孟家镇孤树子村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宝龙牧业有限公司姚家沟分公司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冯贝堡镇姚家沟村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法库县秀水河子镇锦秀肉牛养殖场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法库县秀水河子镇彭家堡村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沈阳市甘露饺子馆法库种猪场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法库县大孤家子镇兴隆山村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包家屯镇兴国牧业养殖场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包家屯镇南土城村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法库立莉牧业有限公司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卧牛石乡李家窝堡村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沈阳健牧养殖场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法库县卧牛石乡大屯村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辽宁正大畜禽有限公司种猪扩繁二厂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法库县叶茂台镇薄坨子村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法库县秀水河子镇博旺养殖场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法库县秀水河子镇吕家堡村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沈阳鑫珠源畜牧养殖场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法库县包家屯镇大山屯村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349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辽宁正大畜禽有限公司种猪扩繁三厂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叶茂台镇薄坨子村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富源养殖专业合作社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卧牛石乡陈家卜村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辽宁正大畜禽有限公司种猪扩繁四厂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叶茂台镇薄坨子村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法库县淑云蛋鸡专业合作社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叶茂台镇西二台子村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法库县恒得源养殖专业合作社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四家子乡陶家屯村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万泉养牛专业合作社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卧牛石乡苇子沟村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沈阳益泰农牧有限公司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法库县包家屯镇满斗村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沈阳赢臻农业发展有限公司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龙山街道下洼子村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沈阳健兴养殖场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卧牛石乡大屯村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辽宁正大畜禽有限公司种猪扩繁一厂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法库县叶茂台镇薄坨子村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359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新民市大民屯镇英旭养殖场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新民市大民屯镇东章士台村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新民市兴隆镇博威禽业养殖场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新民市兴隆镇弓匠堡子村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沈阳市建大杜伯养殖场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新民市罗家房镇房申村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高鹏儒</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新民市公主屯镇安福屯村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新民孙泽久生猪养殖场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周坨子镇西炮台子村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新民市雅林种鸡孵化场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新民市辽滨街道新建村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新民市大喇嘛乡世闻养殖场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新民市兴隆堡镇敖多牛村</w:t>
            </w:r>
            <w:r>
              <w:rPr>
                <w:rFonts w:ascii="宋体" w:hAnsi="宋体" w:eastAsia="宋体" w:cs="宋体"/>
                <w:kern w:val="0"/>
                <w:sz w:val="21"/>
                <w:szCs w:val="21"/>
              </w:rPr>
              <w:t>606</w:t>
            </w:r>
            <w:r>
              <w:rPr>
                <w:rFonts w:hint="eastAsia" w:ascii="宋体" w:hAnsi="宋体" w:eastAsia="宋体" w:cs="宋体"/>
                <w:kern w:val="0"/>
                <w:sz w:val="21"/>
                <w:szCs w:val="21"/>
              </w:rPr>
              <w:t>号</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赵春江</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新民市公主屯镇黄家山村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李相辉</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新民市公主屯镇李家窝堡村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亚世养殖场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新民市大红旗镇长岗子村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369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新民市三道岗子绿兴园蛋鸡养殖场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新民市三道岗子镇三道岗子村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沈阳市鑫博源养殖场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新民市罗家房村罗家房村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新民市龙腾猪场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新民市兴隆堡镇大荒地村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新民市荣盛养殖厂</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新民市西城街道柴屯村双榆树自然屯</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新民市欣旺养殖场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新民市兴隆堡镇昂邦牛村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新民市鸿运来养殖场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新民市柳河沟镇黑岗子村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新民市天利种鸡养殖场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新民市兴隆镇古洞岗子村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新民市毓然奶牛养殖场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新民市法哈牛镇东升堡村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沈阳众兴园生猪养殖有限公司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新民市西城街道柴屯村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刘一萍</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新民市公主屯镇五家子村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379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程会杰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新民市公主屯镇五家子村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王宇</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新民市梁山镇西二台子村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朱长松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新民市梁山镇团结村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谢雨</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新民市三道岗子镇牛营子村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陈雪</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新民市三道岗子镇牛营子村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宋全忠</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新民市罗家房镇新安堡村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王长龙</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新民市罗家房镇房申村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彭思强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新民市罗家房镇罗家房村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王剑</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新民市东蛇山子镇十里堡村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罗伟</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新民市高台子镇张宝屯村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389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佟振权</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w:t>
            </w:r>
            <w:r>
              <w:rPr>
                <w:rFonts w:hint="eastAsia" w:ascii="宋体" w:hAnsi="宋体" w:eastAsia="宋体" w:cs="宋体"/>
                <w:kern w:val="0"/>
                <w:sz w:val="21"/>
                <w:szCs w:val="21"/>
              </w:rPr>
              <w:t>新民市新柳街道苗圃</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黄玉艳</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新民市高台子镇张宝屯村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曾宪勇</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新民市高台子镇高台子村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魏艳禹</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新民市新柳街道前营子村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尹百辉</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新民市三道岗子镇红花岗子村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陈晓旭</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新民市公主屯镇前温台村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郑和</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新民市东城街道东郊社区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黄长山</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新民市东城街道东郊社区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李凤</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新民市东城街道东郊社区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新民市陶屯天利养殖场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新民市陶家屯镇乌尔汉村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399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新民市大喇嘛宏盛养鸡场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新民市兴隆堡镇小岗子村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新民市邓庆富养殖专业合作社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新民市兴隆堡镇马户屯村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新民市成达养殖场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辽宁省新民市卢家屯乡黄花甸子村委会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新民市高台子镇加喜养殖场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辽宁省新民市高台子镇张宝屯村委会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乔振福</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辽宁省新民市大柳屯镇长岗子村委会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沈阳市新民腾飞牧业</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辽宁省新民市高台子镇张宝屯村委会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辽宁新望科技有限公司新民陶佳木种猪养殖场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辽宁省新民市陶家屯镇沉檀木村委会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沈阳新峰扬翔种猪繁育有限责任公司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辽宁省新民市大柳屯镇利民村委会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新民市梁山镇瑞茂生态养殖场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辽宁省新民市梁山镇汤屯村委会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辽宁新望科技有限公司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辽宁省新民市东蛇山子镇民家屯村委会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409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辽宁新望科技有限公司新民东窑养殖场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辽宁省新民市东蛇山子镇前窑村委会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辽宁新望科技有限公司新民东申养殖场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辽宁省新民市东蛇山子镇荆家房申村委会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沈阳市秀博种猪繁育科技有限公司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辽宁省新民市公主屯镇东旧门村委会</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沈阳金牧农牧有限责任公司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沈阳市新民市于家窝堡乡大汉屯村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新民市凤鸾养殖场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新民市胡台镇侯三家子村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新民市法哈牛镇李家套王昌奶牛养殖场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新民市法哈牛镇李家套村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新民市共赢养殖场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新民市大柳屯镇谢家村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新民市利合养殖场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新民市大柳屯镇王庄屯村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新民市猪源养殖场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新民市大柳屯镇候油坊村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沈阳山河原种猪场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梁山镇大刘屯村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419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新民宏远养殖场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梁山镇大獾洞村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新民市玉龙养殖场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高台子镇腰高村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新民市高台子镇天安养殖场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高台子镇东高村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新民市龙发种猪场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新民市张家屯镇叨太村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新民市新正养殖场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新民市张家屯镇崔三家子村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新民市柳河种猪养殖场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新民市西城街道柴屯村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新民市柴旺养殖场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新民市西城街道柴屯村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沈阳金秋实牧业有限公司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新民市大柳屯镇利民村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辽宁辉山乳业集团太平牧业有限公司新民一奶牛养殖场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新民市姚堡乡和平村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新民市海江奶牛养殖专业合作社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新民市兴隆堡镇西高丽村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429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新民市繁苒奶牛场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新民市法哈牛镇李家套村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辽宁辉山乳业集团太平牧业有限公司新民二奶牛养殖场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新民市新农乡孙屯村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新民市顺腾奶牛养殖基地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新民市法哈牛镇后沙河子村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新民市姚堡乡和盛发养殖场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新民市姚堡乡南王岗村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新民市民富养殖专业合作社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新民市大民屯镇毓宝台村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新民市吕隆奶牛养殖专业合作社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新民市法哈牛镇东升堡村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新民市贵赫奶牛养殖场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新民市兴隆堡镇敖多牛村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沈阳市禄禾源牧场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新民市法哈牛镇巴图营子村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新民市盛达养殖家庭农场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新民市大民屯镇南岗村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新民市亿鑫源牛场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新民市罗家房镇房申村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439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沈阳正源原种猪场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新民市三道岗子镇分水村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新民金泰扬翔农牧有限责任公司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新民市新农村乡孙家屯村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沈阳恒丰源杨翔种猪繁育有限公司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新民市姚堡乡北王岗村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沈阳市博睿农牧科技有限公司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新民市兴隆堡镇大喇村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扬翔果园养殖场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新民市新柳街道</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新民市福兴旺家庭农场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新民市公主屯镇安乐村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金雪养殖场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新民市卢屯乡黄岱村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新民市兴隆堡镇庆利养殖场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兴新民市隆堡镇敖多牛村</w:t>
            </w:r>
            <w:r>
              <w:rPr>
                <w:rFonts w:ascii="宋体" w:hAnsi="宋体" w:eastAsia="宋体" w:cs="宋体"/>
                <w:kern w:val="0"/>
                <w:sz w:val="21"/>
                <w:szCs w:val="21"/>
              </w:rPr>
              <w:t>2</w:t>
            </w:r>
            <w:r>
              <w:rPr>
                <w:rFonts w:hint="eastAsia" w:ascii="宋体" w:hAnsi="宋体" w:eastAsia="宋体" w:cs="宋体"/>
                <w:kern w:val="0"/>
                <w:sz w:val="21"/>
                <w:szCs w:val="21"/>
              </w:rPr>
              <w:t>号</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顺益源养鸡场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新民市大红旗镇马长岗村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新民市富国畜牧养殖场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新民市三道岗子镇红花村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449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沈阳市双益种鸡场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新民市前当堡镇前网户村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新民市兰德牧业</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新民市于家乡于家村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新民市鑫牧盛养殖专业合作社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新民市柳河沟镇柳河沟村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牛</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452</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沈阳市天铭养殖场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新民市罗家房镇房申村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453</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长铁养殖合作社</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新民市金五台子乡鄢家窝堡村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羊</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454</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沈阳新民市嘉禾牧业</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新民市高台子镇罗屯村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455</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沈阳市于洪区百仕达牧业发展有限公司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辽宁省于洪区马三家街道边台村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456</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沈阳市于洪区三兴生猪养殖场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辽宁省于洪区平罗街道新安村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457</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沈阳波音饲料有限公司动物生产技术研发基地</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辽宁省于洪区光辉农场光辉农场虚拟生活区</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458</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于洪区</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沈阳市于洪区裕乾畜牧养殖场</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辽宁省于洪区平罗街道二台子村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459</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辽宁众盟禽业有限公司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辽宁省新民市公主屯镇河东村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460</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沈阳鑫硕牧业有限公司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辽宁省新民市大红旗镇红西村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生猪</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2" w:type="pct"/>
            <w:vAlign w:val="center"/>
          </w:tcPr>
          <w:p>
            <w:pPr>
              <w:widowControl/>
              <w:spacing w:line="240" w:lineRule="auto"/>
              <w:ind w:firstLine="0" w:firstLineChars="0"/>
              <w:jc w:val="center"/>
              <w:rPr>
                <w:rFonts w:ascii="宋体" w:hAnsi="宋体" w:eastAsia="宋体" w:cs="宋体"/>
                <w:kern w:val="0"/>
                <w:sz w:val="21"/>
                <w:szCs w:val="21"/>
              </w:rPr>
            </w:pPr>
            <w:r>
              <w:rPr>
                <w:rFonts w:ascii="宋体" w:hAnsi="宋体" w:eastAsia="宋体" w:cs="宋体"/>
                <w:kern w:val="0"/>
                <w:sz w:val="21"/>
                <w:szCs w:val="21"/>
              </w:rPr>
              <w:t>461</w:t>
            </w:r>
          </w:p>
        </w:tc>
        <w:tc>
          <w:tcPr>
            <w:tcW w:w="53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w:t>
            </w:r>
          </w:p>
        </w:tc>
        <w:tc>
          <w:tcPr>
            <w:tcW w:w="493"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新民市</w:t>
            </w:r>
          </w:p>
        </w:tc>
        <w:tc>
          <w:tcPr>
            <w:tcW w:w="1392"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沈阳市贵锋种鸡孵化有限公司</w:t>
            </w:r>
          </w:p>
        </w:tc>
        <w:tc>
          <w:tcPr>
            <w:tcW w:w="1118"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辽宁省新民市前当堡镇腰岗子村</w:t>
            </w:r>
          </w:p>
        </w:tc>
        <w:tc>
          <w:tcPr>
            <w:tcW w:w="490" w:type="pct"/>
            <w:vAlign w:val="center"/>
          </w:tcPr>
          <w:p>
            <w:pPr>
              <w:widowControl/>
              <w:spacing w:line="240" w:lineRule="auto"/>
              <w:ind w:firstLine="0" w:firstLineChars="0"/>
              <w:jc w:val="center"/>
              <w:rPr>
                <w:rFonts w:ascii="宋体" w:hAnsi="宋体" w:eastAsia="宋体"/>
                <w:kern w:val="0"/>
                <w:sz w:val="21"/>
                <w:szCs w:val="21"/>
              </w:rPr>
            </w:pPr>
            <w:r>
              <w:rPr>
                <w:rFonts w:hint="eastAsia" w:ascii="宋体" w:hAnsi="宋体" w:eastAsia="宋体" w:cs="宋体"/>
                <w:kern w:val="0"/>
                <w:sz w:val="21"/>
                <w:szCs w:val="21"/>
              </w:rPr>
              <w:t>鸡</w:t>
            </w:r>
          </w:p>
        </w:tc>
        <w:tc>
          <w:tcPr>
            <w:tcW w:w="607" w:type="pct"/>
            <w:vAlign w:val="center"/>
          </w:tcPr>
          <w:p>
            <w:pPr>
              <w:widowControl/>
              <w:spacing w:line="240" w:lineRule="auto"/>
              <w:ind w:firstLine="0" w:firstLineChars="0"/>
              <w:jc w:val="center"/>
              <w:rPr>
                <w:rFonts w:ascii="宋体" w:hAnsi="宋体" w:eastAsia="宋体"/>
                <w:kern w:val="0"/>
                <w:sz w:val="21"/>
                <w:szCs w:val="21"/>
              </w:rPr>
            </w:pPr>
            <w:r>
              <w:rPr>
                <w:rFonts w:ascii="宋体" w:hAnsi="宋体" w:eastAsia="宋体" w:cs="宋体"/>
                <w:kern w:val="0"/>
                <w:sz w:val="21"/>
                <w:szCs w:val="21"/>
              </w:rPr>
              <w:t>2021</w:t>
            </w:r>
            <w:r>
              <w:rPr>
                <w:rFonts w:hint="eastAsia" w:ascii="宋体" w:hAnsi="宋体" w:eastAsia="宋体" w:cs="宋体"/>
                <w:kern w:val="0"/>
                <w:sz w:val="21"/>
                <w:szCs w:val="21"/>
              </w:rPr>
              <w:t>年新增</w:t>
            </w:r>
          </w:p>
        </w:tc>
      </w:tr>
    </w:tbl>
    <w:p>
      <w:pPr>
        <w:adjustRightInd w:val="0"/>
        <w:snapToGrid w:val="0"/>
        <w:ind w:firstLine="0" w:firstLineChars="0"/>
      </w:pPr>
    </w:p>
    <w:p>
      <w:pPr>
        <w:widowControl/>
        <w:spacing w:line="240" w:lineRule="auto"/>
        <w:ind w:firstLine="0" w:firstLineChars="0"/>
        <w:jc w:val="left"/>
      </w:pPr>
      <w:r>
        <w:br w:type="page"/>
      </w:r>
    </w:p>
    <w:p>
      <w:pPr>
        <w:pStyle w:val="3"/>
      </w:pPr>
      <w:bookmarkStart w:id="100" w:name="_Toc82435208"/>
      <w:bookmarkStart w:id="101" w:name="_Toc90558556"/>
      <w:r>
        <w:rPr>
          <w:rFonts w:hint="eastAsia" w:cs="仿宋"/>
        </w:rPr>
        <w:t>附表</w:t>
      </w:r>
      <w:r>
        <w:t xml:space="preserve">2 </w:t>
      </w:r>
      <w:bookmarkEnd w:id="100"/>
      <w:r>
        <w:rPr>
          <w:rFonts w:hint="eastAsia" w:cs="仿宋"/>
        </w:rPr>
        <w:t>大型畜禽规模养殖场粪污资源化利用配套土地面积要求清单</w:t>
      </w:r>
      <w:bookmarkEnd w:id="101"/>
    </w:p>
    <w:tbl>
      <w:tblPr>
        <w:tblStyle w:val="20"/>
        <w:tblW w:w="0" w:type="auto"/>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134"/>
        <w:gridCol w:w="2742"/>
        <w:gridCol w:w="1115"/>
        <w:gridCol w:w="1115"/>
        <w:gridCol w:w="890"/>
        <w:gridCol w:w="1034"/>
        <w:gridCol w:w="1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rFonts w:hint="eastAsia" w:cs="仿宋"/>
                <w:sz w:val="22"/>
                <w:szCs w:val="22"/>
              </w:rPr>
              <w:t>序号</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行政区划名称</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养殖场名称</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乡</w:t>
            </w:r>
            <w:r>
              <w:rPr>
                <w:sz w:val="22"/>
                <w:szCs w:val="22"/>
              </w:rPr>
              <w:t>(</w:t>
            </w:r>
            <w:r>
              <w:rPr>
                <w:rFonts w:hint="eastAsia" w:cs="仿宋"/>
                <w:sz w:val="22"/>
                <w:szCs w:val="22"/>
              </w:rPr>
              <w:t>镇</w:t>
            </w:r>
            <w:r>
              <w:rPr>
                <w:sz w:val="22"/>
                <w:szCs w:val="22"/>
              </w:rPr>
              <w:t>)</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街</w:t>
            </w:r>
            <w:r>
              <w:rPr>
                <w:sz w:val="22"/>
                <w:szCs w:val="22"/>
              </w:rPr>
              <w:t>(</w:t>
            </w:r>
            <w:r>
              <w:rPr>
                <w:rFonts w:hint="eastAsia" w:cs="仿宋"/>
                <w:sz w:val="22"/>
                <w:szCs w:val="22"/>
              </w:rPr>
              <w:t>村</w:t>
            </w:r>
            <w:r>
              <w:rPr>
                <w:sz w:val="22"/>
                <w:szCs w:val="22"/>
              </w:rPr>
              <w:t>)</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畜禽种类名称</w:t>
            </w:r>
          </w:p>
        </w:tc>
        <w:tc>
          <w:tcPr>
            <w:tcW w:w="10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饲养量（头</w:t>
            </w:r>
            <w:r>
              <w:rPr>
                <w:sz w:val="22"/>
                <w:szCs w:val="22"/>
              </w:rPr>
              <w:t>/</w:t>
            </w:r>
            <w:r>
              <w:rPr>
                <w:rFonts w:hint="eastAsia" w:cs="仿宋"/>
                <w:sz w:val="22"/>
                <w:szCs w:val="22"/>
              </w:rPr>
              <w:t>羽）</w:t>
            </w:r>
          </w:p>
        </w:tc>
        <w:tc>
          <w:tcPr>
            <w:tcW w:w="100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配套土地（亩）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苏家屯区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沈阳三通牧业有限公司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白清</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白清寨</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4000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苏家屯区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沈阳益盈养殖专业合作社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姚千户屯</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佟家村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苏家屯区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本溪木兰花乳业有限责任公司奶牛养殖场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陈相街道</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蛇山村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522</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2883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沈北新区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辽宁世领自营牧场有限公司朱家堡牛场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清水台镇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朱家堡村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1575</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沈北新区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辽宁世领自营牧场有限公司立新牛场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石佛寺乡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立新村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1524</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沈北新区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辽宁世领自营牧场有限公司曙光牛场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尹家街道</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曙光村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2086</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11522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于洪区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沈阳市新鸿鑫农牧业专业合作社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光辉街道</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永光</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于洪区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沈阳金畜养殖场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马三家街道</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马三家</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沈阳弘运达牧业有限公司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老大房镇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孟家村委会孟家村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沈阳市辽中区安健肉牛养殖合作社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沈阳市辽中区银河肉牛养殖专业合作社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肖北社区</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沈阳喜加喜猪业有限公司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潘家堡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潘家堡</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27300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沈阳树新畜牧有限公司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养士堡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腰屯</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13650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沈阳市万全种禽有限公司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养士堡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养后</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蛋鸡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5460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沈阳市辽中区思源肉鸡养殖场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刘二堡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东高</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辽中县佳强肉鸡养殖场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潘家堡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于台</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辽中区大成养鸡专业合作社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刘二堡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东高</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辽中县冷子堡镇顺达肉鸡养殖场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冷子堡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黄东</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800000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29120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19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辽中县鹏源肉鸡养殖场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冷子堡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黄东</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刘桂芝</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冷子堡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黄东</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辽中县肖寨门镇高红军肉牛养殖场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沈阳市英奥养殖场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妈妈街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昌盛养殖场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茨于坨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第二社区</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1200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恒昌养殖场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茨于坨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第二社区</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付祝章养殖场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茨于坨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第二社区</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1200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沈阳盛华养殖场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茨于坨</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第二社区</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肇启军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冷子堡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古城</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肇启胜</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冷子堡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古城</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29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沈阳市辽中区贺波养猪场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满都户</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满西</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沈阳宏洋振兴养殖专业合作社</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潘家堡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南长岗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4000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12121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王兴海养牛场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肖南社区无</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王家勇养殖场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妈妈街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荆可威养牛场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三北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杨显斌</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肖东</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1200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付林肉牛养殖场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肖寨门镇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肖北</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昌达铭</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茨榆坨街道办事处</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太平村委会</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辽中县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蔺吉刚养猪场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满都户镇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前鸭鸡房村委会无</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唐僧庙牛场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方家</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十家子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2204</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12174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39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曹家牛场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小城子</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曹家窝棚</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3700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11212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柳树屯牛场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柳树</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柳树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2241</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12379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刘木匠牛场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沙金台</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刘木匠</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3600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两家子牛场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方家屯</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十家子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2057</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11362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郝官牛场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郝官</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孙家屯</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3600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东贾家牛场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方家屯</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十家子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669</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康平县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富裕牛场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小城子</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富裕</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3700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11212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沈阳华美畜禽有限公司丁家房鸡场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丁家房</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1400000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50960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辽宁辉山乳业集团王树牧业有限公司王树行子现代化奶牛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王树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1497</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辽宁辉山乳业集团彭家牧业有限公司吕家现代化奶牛养殖</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吕家堡村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1748</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49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辽宁正大畜禽有限公司种猪扩繁四厂</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6600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辽宁辉山乳业集团卧牛石牧业有限公司哈户硕现代化奶牛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卧牛石乡</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1821</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沈阳宏源生态农业科技有限公司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孟家</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700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沈阳湧鑫牧业有限公司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冯贝堡</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辽宁辉山乳业集团榆树牧业有限公司榆树坨现代化奶牛养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包家屯乡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榆树坨子村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1639</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辽宁辉山乳业集团叶茂台牧业有限公司太平山现代化奶牛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太平山</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1348</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7446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辽宁畜禽公猪站</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沈阳宝隆牧业有限公司姚家沟分公司</w:t>
            </w:r>
          </w:p>
        </w:tc>
        <w:tc>
          <w:tcPr>
            <w:tcW w:w="1115" w:type="dxa"/>
            <w:noWrap/>
            <w:vAlign w:val="center"/>
          </w:tcPr>
          <w:p>
            <w:pPr>
              <w:adjustRightInd w:val="0"/>
              <w:snapToGrid w:val="0"/>
              <w:spacing w:line="240" w:lineRule="auto"/>
              <w:ind w:firstLine="0" w:firstLineChars="0"/>
              <w:jc w:val="center"/>
              <w:rPr>
                <w:sz w:val="22"/>
                <w:szCs w:val="22"/>
              </w:rPr>
            </w:pP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36400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辽宁辉山乳业集团双台子牧业有限公司七家子现代化奶牛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双台子乡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七家子村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1781</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辽宁辉山乳业集团双台子牧业有限公司团山子现代化奶牛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双台子乡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团山子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2062</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11390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59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辽宁辉山乳业集团孙家牧业有限公司孙家屯现代化奶牛养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卧牛石乡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孙家屯村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1643</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辽宁辉山乳业集团秀水牧业有限公司秀水现代化奶牛养殖</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前屯村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1747</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辽宁辉山乳业集团大三牧业有限公司拉马章现代化奶牛养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包家屯乡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拉马章村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1644</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辽宁辉山乳业集团秀水牧业有限公司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登士堡子镇</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3690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20382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沈阳宝隆牧业有限公司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冯贝堡</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2000000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72800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辽宁辉山乳业集团卧牛石牧业有限公司李家堡现代化奶牛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卧牛石乡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李家堡村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1971</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辽宁辉山乳业集团榆树牧业有限公司腰达房现代化奶牛养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包家屯镇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腰达房村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1667</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辽宁辉山乳业集团彭家牧业有限公司彭家现代化奶牛养殖</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彭家堡村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1743</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辽宁辉山乳业集团丰源牧业有限公司敖牛堡现代化奶牛养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大孤家子镇</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1876</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辽宁正大畜禽有限公司种猪扩繁二厂</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4700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69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辽宁辉山乳业集团大三牧业有限公司大三家子现代化奶牛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包家屯乡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大三家子村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1622</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8959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辽宁辉山乳业集团太平牧业有限公司庙台山现代化奶牛养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庙台山村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1596</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辽宁辉山乳业集团叶茂台牧业有限公司四架山现代化奶牛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四架山</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1366</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7545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辽宁辉山乳业集团王树牧业有限公司杨家堡现代化奶牛养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杨家堡子村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1444</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7976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沈阳天润丰畜牧有限公司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700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辽宁辉山大康奶牛养殖场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三面船镇</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2187</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12080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辽宁辉山乳业集团孙家牧业有限公司靠边屯现代化奶牛养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双台子镇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靠边屯</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1582</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辽宁正大畜禽有限公司种猪扩繁一厂</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薄坨子村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6000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5460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辽宁辉山乳业集团叶茂台牧业有限公司石庄子现代化奶牛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石桩子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1620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8948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辽宁辉山乳业集团卧牛石牧业有限公司麻子泡现代化奶牛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卧牛石乡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麻子泡村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1823</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79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辽宁辉山乳业集团栖霞牧业有限公司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三面船镇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栖霞堡</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2365</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13064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辽宁辉山乳业集团双台子牧业有限公司双台子现代化奶牛</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双台子乡</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双台子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1814</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法库县赢德牧业有限公司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柏家沟</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65520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辽宁正大畜禽有限公司种猪扩繁三厂</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叶茂台</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4600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83</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法库县</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辽宁辉山乳业集团秀水牧业有限公司八家子现代化奶牛养</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秀水河子镇</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1721</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84</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沈阳经济技术开发区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沈阳经济技术开发区大潘春吉养猪场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大潘</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小潘</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18000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16380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85</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沈阳经济技术开发区</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张春星养鸡场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高花</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400000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86</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沈阳山河原种猪场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梁山</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大刘屯</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87</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沈阳市蒲河养殖场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前当堡镇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蒲河新村村委会</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肉鸡</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300000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10920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88</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新民市梁山镇养殖场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梁山镇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顾屯村委会</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8200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7462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89</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新民金泰扬翔农牧有限责任公司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新农村镇</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孙家屯村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13650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90</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沈阳金秋实牧业有限公司</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大柳屯</w:t>
            </w:r>
          </w:p>
        </w:tc>
        <w:tc>
          <w:tcPr>
            <w:tcW w:w="1115" w:type="dxa"/>
            <w:noWrap/>
            <w:vAlign w:val="center"/>
          </w:tcPr>
          <w:p>
            <w:pPr>
              <w:adjustRightInd w:val="0"/>
              <w:snapToGrid w:val="0"/>
              <w:spacing w:line="240" w:lineRule="auto"/>
              <w:ind w:firstLine="0" w:firstLineChars="0"/>
              <w:jc w:val="center"/>
              <w:rPr>
                <w:sz w:val="22"/>
                <w:szCs w:val="22"/>
              </w:rPr>
            </w:pP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奶牛</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620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91</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新民市新正养殖场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张家屯</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崔三家子</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10000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04" w:type="dxa"/>
            <w:vAlign w:val="center"/>
          </w:tcPr>
          <w:p>
            <w:pPr>
              <w:adjustRightInd w:val="0"/>
              <w:snapToGrid w:val="0"/>
              <w:spacing w:line="240" w:lineRule="auto"/>
              <w:ind w:firstLine="0" w:firstLineChars="0"/>
              <w:jc w:val="center"/>
              <w:rPr>
                <w:sz w:val="22"/>
                <w:szCs w:val="22"/>
              </w:rPr>
            </w:pPr>
            <w:r>
              <w:rPr>
                <w:sz w:val="22"/>
                <w:szCs w:val="22"/>
              </w:rPr>
              <w:t>92</w:t>
            </w:r>
          </w:p>
        </w:tc>
        <w:tc>
          <w:tcPr>
            <w:tcW w:w="1134"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w:t>
            </w:r>
          </w:p>
        </w:tc>
        <w:tc>
          <w:tcPr>
            <w:tcW w:w="2742"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新民市柳河种猪养殖场</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西城街道</w:t>
            </w:r>
          </w:p>
        </w:tc>
        <w:tc>
          <w:tcPr>
            <w:tcW w:w="1115"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柴屯村</w:t>
            </w:r>
          </w:p>
        </w:tc>
        <w:tc>
          <w:tcPr>
            <w:tcW w:w="890" w:type="dxa"/>
            <w:noWrap/>
            <w:vAlign w:val="center"/>
          </w:tcPr>
          <w:p>
            <w:pPr>
              <w:adjustRightInd w:val="0"/>
              <w:snapToGrid w:val="0"/>
              <w:spacing w:line="240" w:lineRule="auto"/>
              <w:ind w:firstLine="0" w:firstLineChars="0"/>
              <w:jc w:val="center"/>
              <w:rPr>
                <w:sz w:val="22"/>
                <w:szCs w:val="22"/>
              </w:rPr>
            </w:pPr>
            <w:r>
              <w:rPr>
                <w:rFonts w:hint="eastAsia" w:cs="仿宋"/>
                <w:sz w:val="22"/>
                <w:szCs w:val="22"/>
              </w:rPr>
              <w:t>生猪</w:t>
            </w:r>
          </w:p>
        </w:tc>
        <w:tc>
          <w:tcPr>
            <w:tcW w:w="1034" w:type="dxa"/>
            <w:noWrap/>
            <w:vAlign w:val="center"/>
          </w:tcPr>
          <w:p>
            <w:pPr>
              <w:adjustRightInd w:val="0"/>
              <w:snapToGrid w:val="0"/>
              <w:spacing w:line="240" w:lineRule="auto"/>
              <w:ind w:firstLine="0" w:firstLineChars="0"/>
              <w:jc w:val="center"/>
              <w:rPr>
                <w:sz w:val="22"/>
                <w:szCs w:val="22"/>
              </w:rPr>
            </w:pPr>
            <w:r>
              <w:rPr>
                <w:sz w:val="22"/>
                <w:szCs w:val="22"/>
              </w:rPr>
              <w:t>5000</w:t>
            </w:r>
          </w:p>
        </w:tc>
        <w:tc>
          <w:tcPr>
            <w:tcW w:w="1002" w:type="dxa"/>
            <w:noWrap/>
            <w:vAlign w:val="center"/>
          </w:tcPr>
          <w:p>
            <w:pPr>
              <w:adjustRightInd w:val="0"/>
              <w:snapToGrid w:val="0"/>
              <w:spacing w:line="240" w:lineRule="auto"/>
              <w:ind w:firstLine="0" w:firstLineChars="0"/>
              <w:jc w:val="center"/>
              <w:rPr>
                <w:sz w:val="22"/>
                <w:szCs w:val="22"/>
              </w:rPr>
            </w:pPr>
            <w:r>
              <w:rPr>
                <w:sz w:val="22"/>
                <w:szCs w:val="22"/>
              </w:rPr>
              <w:t>4550</w:t>
            </w:r>
          </w:p>
        </w:tc>
      </w:tr>
    </w:tbl>
    <w:p>
      <w:pPr>
        <w:ind w:firstLine="31680"/>
      </w:pPr>
      <w:r>
        <w:rPr>
          <w:rFonts w:hint="eastAsia" w:cs="仿宋"/>
          <w:sz w:val="22"/>
          <w:szCs w:val="22"/>
        </w:rPr>
        <w:t>注</w:t>
      </w:r>
      <w:r>
        <w:rPr>
          <w:sz w:val="22"/>
          <w:szCs w:val="22"/>
        </w:rPr>
        <w:t>*:</w:t>
      </w:r>
      <w:r>
        <w:rPr>
          <w:rFonts w:hint="eastAsia" w:cs="仿宋"/>
          <w:sz w:val="22"/>
          <w:szCs w:val="22"/>
        </w:rPr>
        <w:t>以上计算结果基于农业部办公厅印发《畜禽粪污土地承载力测算技术指南》，计算条件为种植玉米，目标产量</w:t>
      </w:r>
      <w:r>
        <w:rPr>
          <w:sz w:val="22"/>
          <w:szCs w:val="22"/>
        </w:rPr>
        <w:t>6</w:t>
      </w:r>
      <w:r>
        <w:rPr>
          <w:rFonts w:hint="eastAsia" w:cs="仿宋"/>
          <w:sz w:val="22"/>
          <w:szCs w:val="22"/>
        </w:rPr>
        <w:t>吨</w:t>
      </w:r>
      <w:r>
        <w:rPr>
          <w:sz w:val="22"/>
          <w:szCs w:val="22"/>
        </w:rPr>
        <w:t>/</w:t>
      </w:r>
      <w:r>
        <w:rPr>
          <w:rFonts w:hint="eastAsia" w:cs="仿宋"/>
          <w:sz w:val="22"/>
          <w:szCs w:val="22"/>
        </w:rPr>
        <w:t>公顷，施肥供给占比取值</w:t>
      </w:r>
      <w:r>
        <w:rPr>
          <w:sz w:val="22"/>
          <w:szCs w:val="22"/>
        </w:rPr>
        <w:t>45%</w:t>
      </w:r>
      <w:r>
        <w:rPr>
          <w:rFonts w:hint="eastAsia" w:cs="仿宋"/>
          <w:sz w:val="22"/>
          <w:szCs w:val="22"/>
        </w:rPr>
        <w:t>，以</w:t>
      </w:r>
      <w:r>
        <w:rPr>
          <w:sz w:val="22"/>
          <w:szCs w:val="22"/>
        </w:rPr>
        <w:t>N</w:t>
      </w:r>
      <w:r>
        <w:rPr>
          <w:rFonts w:hint="eastAsia" w:cs="仿宋"/>
          <w:sz w:val="22"/>
          <w:szCs w:val="22"/>
        </w:rPr>
        <w:t>计，氮素当季利用处理取</w:t>
      </w:r>
      <w:r>
        <w:rPr>
          <w:sz w:val="22"/>
          <w:szCs w:val="22"/>
        </w:rPr>
        <w:t>27.5%</w:t>
      </w:r>
      <w:r>
        <w:rPr>
          <w:rFonts w:hint="eastAsia" w:cs="仿宋"/>
          <w:sz w:val="22"/>
          <w:szCs w:val="22"/>
        </w:rPr>
        <w:t>，粪肥全部就地利用。</w:t>
      </w:r>
      <w:r>
        <w:br w:type="page"/>
      </w:r>
    </w:p>
    <w:p>
      <w:pPr>
        <w:pStyle w:val="3"/>
      </w:pPr>
      <w:bookmarkStart w:id="102" w:name="_Toc82435209"/>
      <w:bookmarkStart w:id="103" w:name="_Toc90558557"/>
      <w:r>
        <w:rPr>
          <w:rFonts w:hint="eastAsia" w:cs="仿宋"/>
        </w:rPr>
        <w:t>附表</w:t>
      </w:r>
      <w:r>
        <w:t xml:space="preserve">3 </w:t>
      </w:r>
      <w:r>
        <w:rPr>
          <w:rFonts w:hint="eastAsia" w:cs="仿宋"/>
        </w:rPr>
        <w:t>畜禽粪污转运及集中处理中心建设工程清单</w:t>
      </w:r>
      <w:bookmarkEnd w:id="102"/>
      <w:bookmarkEnd w:id="103"/>
    </w:p>
    <w:tbl>
      <w:tblPr>
        <w:tblStyle w:val="20"/>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068"/>
        <w:gridCol w:w="2283"/>
        <w:gridCol w:w="4206"/>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 w:type="pct"/>
            <w:vAlign w:val="center"/>
          </w:tcPr>
          <w:p>
            <w:pPr>
              <w:adjustRightInd w:val="0"/>
              <w:snapToGrid w:val="0"/>
              <w:spacing w:line="240" w:lineRule="auto"/>
              <w:ind w:firstLine="0" w:firstLineChars="0"/>
              <w:jc w:val="center"/>
              <w:rPr>
                <w:b/>
                <w:bCs/>
                <w:kern w:val="0"/>
                <w:sz w:val="24"/>
                <w:szCs w:val="24"/>
              </w:rPr>
            </w:pPr>
            <w:r>
              <w:rPr>
                <w:rFonts w:hint="eastAsia" w:cs="仿宋"/>
                <w:b/>
                <w:bCs/>
                <w:kern w:val="0"/>
                <w:sz w:val="24"/>
                <w:szCs w:val="24"/>
              </w:rPr>
              <w:t>序号</w:t>
            </w:r>
          </w:p>
        </w:tc>
        <w:tc>
          <w:tcPr>
            <w:tcW w:w="536" w:type="pct"/>
            <w:vAlign w:val="center"/>
          </w:tcPr>
          <w:p>
            <w:pPr>
              <w:adjustRightInd w:val="0"/>
              <w:snapToGrid w:val="0"/>
              <w:spacing w:line="240" w:lineRule="auto"/>
              <w:ind w:firstLine="0" w:firstLineChars="0"/>
              <w:jc w:val="center"/>
              <w:rPr>
                <w:b/>
                <w:bCs/>
                <w:kern w:val="0"/>
                <w:sz w:val="24"/>
                <w:szCs w:val="24"/>
              </w:rPr>
            </w:pPr>
            <w:r>
              <w:rPr>
                <w:rFonts w:hint="eastAsia" w:cs="仿宋"/>
                <w:b/>
                <w:bCs/>
                <w:kern w:val="0"/>
                <w:sz w:val="24"/>
                <w:szCs w:val="24"/>
              </w:rPr>
              <w:t>项目类型</w:t>
            </w:r>
          </w:p>
        </w:tc>
        <w:tc>
          <w:tcPr>
            <w:tcW w:w="1146" w:type="pct"/>
            <w:vAlign w:val="center"/>
          </w:tcPr>
          <w:p>
            <w:pPr>
              <w:adjustRightInd w:val="0"/>
              <w:snapToGrid w:val="0"/>
              <w:spacing w:line="240" w:lineRule="auto"/>
              <w:ind w:firstLine="0" w:firstLineChars="0"/>
              <w:jc w:val="center"/>
              <w:rPr>
                <w:b/>
                <w:bCs/>
                <w:kern w:val="0"/>
                <w:sz w:val="24"/>
                <w:szCs w:val="24"/>
              </w:rPr>
            </w:pPr>
            <w:r>
              <w:rPr>
                <w:rFonts w:hint="eastAsia" w:cs="仿宋"/>
                <w:b/>
                <w:bCs/>
                <w:kern w:val="0"/>
                <w:sz w:val="24"/>
                <w:szCs w:val="24"/>
              </w:rPr>
              <w:t>项目名称</w:t>
            </w:r>
          </w:p>
        </w:tc>
        <w:tc>
          <w:tcPr>
            <w:tcW w:w="2111" w:type="pct"/>
            <w:vAlign w:val="center"/>
          </w:tcPr>
          <w:p>
            <w:pPr>
              <w:adjustRightInd w:val="0"/>
              <w:snapToGrid w:val="0"/>
              <w:spacing w:line="240" w:lineRule="auto"/>
              <w:ind w:firstLine="0" w:firstLineChars="0"/>
              <w:jc w:val="center"/>
              <w:rPr>
                <w:b/>
                <w:bCs/>
                <w:kern w:val="0"/>
                <w:sz w:val="24"/>
                <w:szCs w:val="24"/>
              </w:rPr>
            </w:pPr>
            <w:r>
              <w:rPr>
                <w:rFonts w:hint="eastAsia" w:cs="仿宋"/>
                <w:b/>
                <w:bCs/>
                <w:kern w:val="0"/>
                <w:sz w:val="24"/>
                <w:szCs w:val="24"/>
              </w:rPr>
              <w:t>建设内容</w:t>
            </w:r>
          </w:p>
        </w:tc>
        <w:tc>
          <w:tcPr>
            <w:tcW w:w="853" w:type="pct"/>
            <w:vAlign w:val="center"/>
          </w:tcPr>
          <w:p>
            <w:pPr>
              <w:adjustRightInd w:val="0"/>
              <w:snapToGrid w:val="0"/>
              <w:spacing w:line="240" w:lineRule="auto"/>
              <w:ind w:firstLine="0" w:firstLineChars="0"/>
              <w:jc w:val="center"/>
              <w:rPr>
                <w:b/>
                <w:bCs/>
                <w:kern w:val="0"/>
                <w:sz w:val="24"/>
                <w:szCs w:val="24"/>
              </w:rPr>
            </w:pPr>
            <w:r>
              <w:rPr>
                <w:rFonts w:hint="eastAsia" w:cs="仿宋"/>
                <w:b/>
                <w:bCs/>
                <w:kern w:val="0"/>
                <w:sz w:val="24"/>
                <w:szCs w:val="24"/>
              </w:rPr>
              <w:t>完成时限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1</w:t>
            </w:r>
          </w:p>
        </w:tc>
        <w:tc>
          <w:tcPr>
            <w:tcW w:w="536" w:type="pct"/>
            <w:vMerge w:val="restar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养殖场（户）畜禽粪污处理利用设施提升工程</w:t>
            </w: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新民市规模养殖场设施升级改造工程</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新民市</w:t>
            </w:r>
            <w:r>
              <w:rPr>
                <w:kern w:val="0"/>
                <w:sz w:val="24"/>
                <w:szCs w:val="24"/>
              </w:rPr>
              <w:t>13</w:t>
            </w:r>
            <w:r>
              <w:rPr>
                <w:rFonts w:hint="eastAsia" w:cs="仿宋"/>
                <w:kern w:val="0"/>
                <w:sz w:val="24"/>
                <w:szCs w:val="24"/>
              </w:rPr>
              <w:t>家规模养殖场设施升级改造工程</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9"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2</w:t>
            </w:r>
          </w:p>
        </w:tc>
        <w:tc>
          <w:tcPr>
            <w:tcW w:w="536" w:type="pct"/>
            <w:vMerge w:val="continue"/>
            <w:vAlign w:val="center"/>
          </w:tcPr>
          <w:p>
            <w:pPr>
              <w:adjustRightInd w:val="0"/>
              <w:snapToGrid w:val="0"/>
              <w:spacing w:line="240" w:lineRule="auto"/>
              <w:ind w:firstLine="0" w:firstLineChars="0"/>
              <w:jc w:val="center"/>
              <w:rPr>
                <w:kern w:val="0"/>
                <w:sz w:val="24"/>
                <w:szCs w:val="24"/>
              </w:rPr>
            </w:pP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辽中区辽寨牧村养殖基地粪污集中储存设施改造工程</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改造已建设养殖密集区集中式粪污贮存场、废液发酵池设施，使贮存场具备“三防”能力，符合相关要求</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3</w:t>
            </w:r>
          </w:p>
        </w:tc>
        <w:tc>
          <w:tcPr>
            <w:tcW w:w="536" w:type="pct"/>
            <w:vMerge w:val="restar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畜禽粪污转运及集中处理中心建设工程</w:t>
            </w: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沈北新区畜禽粪污集中收集点项目</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共建设畜禽粪污集中收储点</w:t>
            </w:r>
            <w:r>
              <w:rPr>
                <w:kern w:val="0"/>
                <w:sz w:val="24"/>
                <w:szCs w:val="24"/>
              </w:rPr>
              <w:t>2</w:t>
            </w:r>
            <w:r>
              <w:rPr>
                <w:rFonts w:hint="eastAsia" w:cs="仿宋"/>
                <w:kern w:val="0"/>
                <w:sz w:val="24"/>
                <w:szCs w:val="24"/>
              </w:rPr>
              <w:t>处；粪肥堆积发酵场</w:t>
            </w:r>
            <w:r>
              <w:rPr>
                <w:kern w:val="0"/>
                <w:sz w:val="24"/>
                <w:szCs w:val="24"/>
              </w:rPr>
              <w:t>2</w:t>
            </w:r>
            <w:r>
              <w:rPr>
                <w:rFonts w:hint="eastAsia" w:cs="仿宋"/>
                <w:kern w:val="0"/>
                <w:sz w:val="24"/>
                <w:szCs w:val="24"/>
              </w:rPr>
              <w:t>个</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4</w:t>
            </w:r>
          </w:p>
        </w:tc>
        <w:tc>
          <w:tcPr>
            <w:tcW w:w="536" w:type="pct"/>
            <w:vMerge w:val="continue"/>
            <w:vAlign w:val="center"/>
          </w:tcPr>
          <w:p>
            <w:pPr>
              <w:adjustRightInd w:val="0"/>
              <w:snapToGrid w:val="0"/>
              <w:spacing w:line="240" w:lineRule="auto"/>
              <w:ind w:firstLine="31680"/>
              <w:jc w:val="center"/>
              <w:rPr>
                <w:kern w:val="0"/>
                <w:sz w:val="24"/>
                <w:szCs w:val="24"/>
              </w:rPr>
            </w:pP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辽中区有机肥厂及粪污处理中心项目</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沈阳市万全种禽有限公司建设</w:t>
            </w:r>
            <w:r>
              <w:rPr>
                <w:kern w:val="0"/>
                <w:sz w:val="24"/>
                <w:szCs w:val="24"/>
              </w:rPr>
              <w:t>1</w:t>
            </w:r>
            <w:r>
              <w:rPr>
                <w:rFonts w:hint="eastAsia" w:cs="仿宋"/>
                <w:kern w:val="0"/>
                <w:sz w:val="24"/>
                <w:szCs w:val="24"/>
              </w:rPr>
              <w:t>个有机肥厂和沈阳善达能源有限公司建设</w:t>
            </w:r>
            <w:r>
              <w:rPr>
                <w:kern w:val="0"/>
                <w:sz w:val="24"/>
                <w:szCs w:val="24"/>
              </w:rPr>
              <w:t>1</w:t>
            </w:r>
            <w:r>
              <w:rPr>
                <w:rFonts w:hint="eastAsia" w:cs="仿宋"/>
                <w:kern w:val="0"/>
                <w:sz w:val="24"/>
                <w:szCs w:val="24"/>
              </w:rPr>
              <w:t>个畜禽粪污处理中心</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5</w:t>
            </w:r>
          </w:p>
        </w:tc>
        <w:tc>
          <w:tcPr>
            <w:tcW w:w="536" w:type="pct"/>
            <w:vMerge w:val="continue"/>
            <w:vAlign w:val="center"/>
          </w:tcPr>
          <w:p>
            <w:pPr>
              <w:adjustRightInd w:val="0"/>
              <w:snapToGrid w:val="0"/>
              <w:spacing w:line="240" w:lineRule="auto"/>
              <w:ind w:firstLine="0" w:firstLineChars="0"/>
              <w:jc w:val="center"/>
              <w:rPr>
                <w:kern w:val="0"/>
                <w:sz w:val="24"/>
                <w:szCs w:val="24"/>
              </w:rPr>
            </w:pP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新民市畜禽粪污处理中心项目</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建设</w:t>
            </w:r>
            <w:r>
              <w:rPr>
                <w:kern w:val="0"/>
                <w:sz w:val="24"/>
                <w:szCs w:val="24"/>
              </w:rPr>
              <w:t>3</w:t>
            </w:r>
            <w:r>
              <w:rPr>
                <w:rFonts w:hint="eastAsia" w:cs="仿宋"/>
                <w:kern w:val="0"/>
                <w:sz w:val="24"/>
                <w:szCs w:val="24"/>
              </w:rPr>
              <w:t>个粪污收集中心，</w:t>
            </w:r>
            <w:r>
              <w:rPr>
                <w:kern w:val="0"/>
                <w:sz w:val="24"/>
                <w:szCs w:val="24"/>
              </w:rPr>
              <w:t>13</w:t>
            </w:r>
            <w:r>
              <w:rPr>
                <w:rFonts w:hint="eastAsia" w:cs="仿宋"/>
                <w:kern w:val="0"/>
                <w:sz w:val="24"/>
                <w:szCs w:val="24"/>
              </w:rPr>
              <w:t>家规模养殖厂粪污处理设施，建设</w:t>
            </w:r>
            <w:r>
              <w:rPr>
                <w:kern w:val="0"/>
                <w:sz w:val="24"/>
                <w:szCs w:val="24"/>
              </w:rPr>
              <w:t>1</w:t>
            </w:r>
            <w:r>
              <w:rPr>
                <w:rFonts w:hint="eastAsia" w:cs="仿宋"/>
                <w:kern w:val="0"/>
                <w:sz w:val="24"/>
                <w:szCs w:val="24"/>
              </w:rPr>
              <w:t>个畜禽粪污处理中心</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6</w:t>
            </w:r>
          </w:p>
        </w:tc>
        <w:tc>
          <w:tcPr>
            <w:tcW w:w="536" w:type="pct"/>
            <w:vMerge w:val="continue"/>
            <w:vAlign w:val="center"/>
          </w:tcPr>
          <w:p>
            <w:pPr>
              <w:adjustRightInd w:val="0"/>
              <w:snapToGrid w:val="0"/>
              <w:spacing w:line="240" w:lineRule="auto"/>
              <w:ind w:firstLine="0" w:firstLineChars="0"/>
              <w:jc w:val="center"/>
              <w:rPr>
                <w:kern w:val="0"/>
                <w:sz w:val="24"/>
                <w:szCs w:val="24"/>
              </w:rPr>
            </w:pP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康平县畜禽粪污资源化利用项目</w:t>
            </w:r>
          </w:p>
        </w:tc>
        <w:tc>
          <w:tcPr>
            <w:tcW w:w="2111" w:type="pct"/>
            <w:vAlign w:val="center"/>
          </w:tcPr>
          <w:p>
            <w:pPr>
              <w:adjustRightInd w:val="0"/>
              <w:snapToGrid w:val="0"/>
              <w:spacing w:line="240" w:lineRule="auto"/>
              <w:ind w:firstLine="0" w:firstLineChars="0"/>
              <w:rPr>
                <w:kern w:val="0"/>
                <w:sz w:val="24"/>
                <w:szCs w:val="24"/>
              </w:rPr>
            </w:pPr>
            <w:r>
              <w:rPr>
                <w:rFonts w:hint="eastAsia" w:cs="仿宋"/>
                <w:kern w:val="0"/>
                <w:sz w:val="24"/>
                <w:szCs w:val="24"/>
              </w:rPr>
              <w:t>新建储粪场</w:t>
            </w:r>
            <w:r>
              <w:rPr>
                <w:kern w:val="0"/>
                <w:sz w:val="24"/>
                <w:szCs w:val="24"/>
              </w:rPr>
              <w:t>29</w:t>
            </w:r>
            <w:r>
              <w:rPr>
                <w:rFonts w:hint="eastAsia" w:cs="仿宋"/>
                <w:kern w:val="0"/>
                <w:sz w:val="24"/>
                <w:szCs w:val="24"/>
              </w:rPr>
              <w:t>个，污水储存池</w:t>
            </w:r>
            <w:r>
              <w:rPr>
                <w:kern w:val="0"/>
                <w:sz w:val="24"/>
                <w:szCs w:val="24"/>
              </w:rPr>
              <w:t>7</w:t>
            </w:r>
            <w:r>
              <w:rPr>
                <w:rFonts w:hint="eastAsia" w:cs="仿宋"/>
                <w:kern w:val="0"/>
                <w:sz w:val="24"/>
                <w:szCs w:val="24"/>
              </w:rPr>
              <w:t>个，区域性收集中心</w:t>
            </w:r>
            <w:r>
              <w:rPr>
                <w:kern w:val="0"/>
                <w:sz w:val="24"/>
                <w:szCs w:val="24"/>
              </w:rPr>
              <w:t>3</w:t>
            </w:r>
            <w:r>
              <w:rPr>
                <w:rFonts w:hint="eastAsia" w:cs="仿宋"/>
                <w:kern w:val="0"/>
                <w:sz w:val="24"/>
                <w:szCs w:val="24"/>
              </w:rPr>
              <w:t>个。</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54" w:type="pct"/>
            <w:vAlign w:val="center"/>
          </w:tcPr>
          <w:p>
            <w:pPr>
              <w:adjustRightInd w:val="0"/>
              <w:snapToGrid w:val="0"/>
              <w:spacing w:line="240" w:lineRule="auto"/>
              <w:ind w:firstLine="0" w:firstLineChars="0"/>
              <w:jc w:val="center"/>
              <w:rPr>
                <w:kern w:val="0"/>
                <w:sz w:val="24"/>
                <w:szCs w:val="24"/>
              </w:rPr>
            </w:pPr>
            <w:r>
              <w:rPr>
                <w:kern w:val="0"/>
                <w:sz w:val="24"/>
                <w:szCs w:val="24"/>
              </w:rPr>
              <w:t>7</w:t>
            </w:r>
          </w:p>
        </w:tc>
        <w:tc>
          <w:tcPr>
            <w:tcW w:w="536" w:type="pct"/>
            <w:vMerge w:val="continue"/>
            <w:vAlign w:val="center"/>
          </w:tcPr>
          <w:p>
            <w:pPr>
              <w:adjustRightInd w:val="0"/>
              <w:snapToGrid w:val="0"/>
              <w:spacing w:line="240" w:lineRule="auto"/>
              <w:ind w:firstLine="0" w:firstLineChars="0"/>
              <w:jc w:val="center"/>
              <w:rPr>
                <w:kern w:val="0"/>
                <w:sz w:val="24"/>
                <w:szCs w:val="24"/>
              </w:rPr>
            </w:pPr>
          </w:p>
        </w:tc>
        <w:tc>
          <w:tcPr>
            <w:tcW w:w="1146" w:type="pc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法库县畜禽粪污综合利用项目</w:t>
            </w:r>
          </w:p>
        </w:tc>
        <w:tc>
          <w:tcPr>
            <w:tcW w:w="2111" w:type="pct"/>
            <w:vAlign w:val="center"/>
          </w:tcPr>
          <w:p>
            <w:pPr>
              <w:adjustRightInd w:val="0"/>
              <w:snapToGrid w:val="0"/>
              <w:spacing w:line="240" w:lineRule="auto"/>
              <w:ind w:firstLine="0" w:firstLineChars="0"/>
              <w:rPr>
                <w:kern w:val="0"/>
                <w:sz w:val="24"/>
                <w:szCs w:val="24"/>
              </w:rPr>
            </w:pPr>
            <w:r>
              <w:rPr>
                <w:kern w:val="0"/>
                <w:sz w:val="24"/>
                <w:szCs w:val="24"/>
              </w:rPr>
              <w:t>229</w:t>
            </w:r>
            <w:r>
              <w:rPr>
                <w:rFonts w:hint="eastAsia" w:cs="仿宋"/>
                <w:kern w:val="0"/>
                <w:sz w:val="24"/>
                <w:szCs w:val="24"/>
              </w:rPr>
              <w:t>座村级堆粪场，建设</w:t>
            </w:r>
            <w:r>
              <w:rPr>
                <w:kern w:val="0"/>
                <w:sz w:val="24"/>
                <w:szCs w:val="24"/>
              </w:rPr>
              <w:t>1</w:t>
            </w:r>
            <w:r>
              <w:rPr>
                <w:rFonts w:hint="eastAsia" w:cs="仿宋"/>
                <w:kern w:val="0"/>
                <w:sz w:val="24"/>
                <w:szCs w:val="24"/>
              </w:rPr>
              <w:t>座畜禽粪污处理处理中心</w:t>
            </w:r>
          </w:p>
        </w:tc>
        <w:tc>
          <w:tcPr>
            <w:tcW w:w="853" w:type="pct"/>
            <w:vAlign w:val="center"/>
          </w:tcPr>
          <w:p>
            <w:pPr>
              <w:adjustRightInd w:val="0"/>
              <w:snapToGrid w:val="0"/>
              <w:spacing w:line="240" w:lineRule="auto"/>
              <w:ind w:firstLine="0" w:firstLineChars="0"/>
              <w:jc w:val="center"/>
              <w:rPr>
                <w:kern w:val="0"/>
                <w:sz w:val="24"/>
                <w:szCs w:val="24"/>
              </w:rPr>
            </w:pPr>
            <w:r>
              <w:rPr>
                <w:kern w:val="0"/>
                <w:sz w:val="24"/>
                <w:szCs w:val="24"/>
              </w:rPr>
              <w:t>2023</w:t>
            </w:r>
            <w:r>
              <w:rPr>
                <w:rFonts w:hint="eastAsia" w:cs="仿宋"/>
                <w:kern w:val="0"/>
                <w:sz w:val="24"/>
                <w:szCs w:val="24"/>
              </w:rPr>
              <w:t>年</w:t>
            </w:r>
            <w:r>
              <w:rPr>
                <w:kern w:val="0"/>
                <w:sz w:val="24"/>
                <w:szCs w:val="24"/>
              </w:rPr>
              <w:t>12</w:t>
            </w:r>
            <w:r>
              <w:rPr>
                <w:rFonts w:hint="eastAsia" w:cs="仿宋"/>
                <w:kern w:val="0"/>
                <w:sz w:val="24"/>
                <w:szCs w:val="24"/>
              </w:rPr>
              <w:t>月</w:t>
            </w:r>
          </w:p>
        </w:tc>
      </w:tr>
    </w:tbl>
    <w:p>
      <w:pPr>
        <w:widowControl/>
        <w:spacing w:line="240" w:lineRule="auto"/>
        <w:ind w:firstLine="0" w:firstLineChars="0"/>
        <w:jc w:val="left"/>
        <w:rPr>
          <w:b/>
          <w:bCs/>
          <w:sz w:val="30"/>
          <w:szCs w:val="30"/>
        </w:rPr>
      </w:pPr>
    </w:p>
    <w:p>
      <w:pPr>
        <w:widowControl/>
        <w:spacing w:line="240" w:lineRule="auto"/>
        <w:ind w:firstLine="0" w:firstLineChars="0"/>
        <w:jc w:val="left"/>
        <w:rPr>
          <w:b/>
          <w:bCs/>
          <w:sz w:val="30"/>
          <w:szCs w:val="30"/>
        </w:rPr>
      </w:pPr>
    </w:p>
    <w:p>
      <w:pPr>
        <w:widowControl/>
        <w:spacing w:line="240" w:lineRule="auto"/>
        <w:ind w:firstLine="0" w:firstLineChars="0"/>
        <w:jc w:val="left"/>
        <w:rPr>
          <w:b/>
          <w:bCs/>
          <w:sz w:val="30"/>
          <w:szCs w:val="30"/>
        </w:rPr>
      </w:pPr>
      <w:r>
        <w:rPr>
          <w:b/>
          <w:bCs/>
          <w:sz w:val="30"/>
          <w:szCs w:val="30"/>
        </w:rPr>
        <w:br w:type="page"/>
      </w:r>
    </w:p>
    <w:p>
      <w:pPr>
        <w:widowControl/>
        <w:spacing w:line="240" w:lineRule="auto"/>
        <w:ind w:firstLine="0" w:firstLineChars="0"/>
        <w:jc w:val="left"/>
        <w:rPr>
          <w:b/>
          <w:bCs/>
          <w:sz w:val="30"/>
          <w:szCs w:val="30"/>
        </w:rPr>
      </w:pPr>
      <w:r>
        <w:rPr>
          <w:rFonts w:hint="eastAsia" w:cs="仿宋"/>
          <w:b/>
          <w:bCs/>
          <w:sz w:val="30"/>
          <w:szCs w:val="30"/>
        </w:rPr>
        <w:t>附件</w:t>
      </w:r>
      <w:r>
        <w:rPr>
          <w:b/>
          <w:bCs/>
          <w:sz w:val="30"/>
          <w:szCs w:val="30"/>
        </w:rPr>
        <w:t xml:space="preserve">4 </w:t>
      </w:r>
      <w:r>
        <w:rPr>
          <w:rFonts w:hint="eastAsia" w:cs="仿宋"/>
          <w:b/>
          <w:bCs/>
          <w:sz w:val="30"/>
          <w:szCs w:val="30"/>
        </w:rPr>
        <w:t>粪肥还田利用田间配套设施建设工程清单</w:t>
      </w:r>
    </w:p>
    <w:tbl>
      <w:tblPr>
        <w:tblStyle w:val="20"/>
        <w:tblW w:w="0" w:type="auto"/>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2693"/>
        <w:gridCol w:w="3969"/>
        <w:gridCol w:w="1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区县</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乡镇</w:t>
            </w:r>
          </w:p>
        </w:tc>
        <w:tc>
          <w:tcPr>
            <w:tcW w:w="3969"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工程内容</w:t>
            </w:r>
          </w:p>
        </w:tc>
        <w:tc>
          <w:tcPr>
            <w:tcW w:w="1661"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完成年限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沈北新区</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财落街道、新城子乡</w:t>
            </w:r>
          </w:p>
        </w:tc>
        <w:tc>
          <w:tcPr>
            <w:tcW w:w="3969" w:type="dxa"/>
            <w:vMerge w:val="restart"/>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合理选择粪肥还田输送管道、配置运输罐车、固态肥抛撒机、液态粪肥撒施机、沼液沼渣抽排机、远距离施肥泵粪肥机械化还田作业设施</w:t>
            </w:r>
          </w:p>
        </w:tc>
        <w:tc>
          <w:tcPr>
            <w:tcW w:w="1661" w:type="dxa"/>
            <w:vAlign w:val="center"/>
          </w:tcPr>
          <w:p>
            <w:pPr>
              <w:adjustRightInd w:val="0"/>
              <w:snapToGrid w:val="0"/>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辽中区</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冷子堡镇、朱家房镇</w:t>
            </w:r>
          </w:p>
        </w:tc>
        <w:tc>
          <w:tcPr>
            <w:tcW w:w="3969" w:type="dxa"/>
            <w:vMerge w:val="continue"/>
            <w:vAlign w:val="center"/>
          </w:tcPr>
          <w:p>
            <w:pPr>
              <w:adjustRightInd w:val="0"/>
              <w:snapToGrid w:val="0"/>
              <w:spacing w:line="240" w:lineRule="auto"/>
              <w:ind w:firstLine="0" w:firstLineChars="0"/>
              <w:jc w:val="center"/>
              <w:rPr>
                <w:kern w:val="0"/>
                <w:sz w:val="24"/>
                <w:szCs w:val="24"/>
              </w:rPr>
            </w:pPr>
          </w:p>
        </w:tc>
        <w:tc>
          <w:tcPr>
            <w:tcW w:w="1661" w:type="dxa"/>
          </w:tcPr>
          <w:p>
            <w:pPr>
              <w:adjustRightInd w:val="0"/>
              <w:snapToGrid w:val="0"/>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新民市</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东蛇山镇、公主屯镇</w:t>
            </w:r>
          </w:p>
        </w:tc>
        <w:tc>
          <w:tcPr>
            <w:tcW w:w="3969" w:type="dxa"/>
            <w:vMerge w:val="continue"/>
            <w:vAlign w:val="center"/>
          </w:tcPr>
          <w:p>
            <w:pPr>
              <w:adjustRightInd w:val="0"/>
              <w:snapToGrid w:val="0"/>
              <w:spacing w:line="240" w:lineRule="auto"/>
              <w:ind w:firstLine="0" w:firstLineChars="0"/>
              <w:jc w:val="center"/>
              <w:rPr>
                <w:kern w:val="0"/>
                <w:sz w:val="24"/>
                <w:szCs w:val="24"/>
              </w:rPr>
            </w:pPr>
          </w:p>
        </w:tc>
        <w:tc>
          <w:tcPr>
            <w:tcW w:w="1661" w:type="dxa"/>
          </w:tcPr>
          <w:p>
            <w:pPr>
              <w:adjustRightInd w:val="0"/>
              <w:snapToGrid w:val="0"/>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康平县</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小城子镇、北四家子乡</w:t>
            </w:r>
          </w:p>
        </w:tc>
        <w:tc>
          <w:tcPr>
            <w:tcW w:w="3969" w:type="dxa"/>
            <w:vMerge w:val="continue"/>
            <w:vAlign w:val="center"/>
          </w:tcPr>
          <w:p>
            <w:pPr>
              <w:adjustRightInd w:val="0"/>
              <w:snapToGrid w:val="0"/>
              <w:spacing w:line="240" w:lineRule="auto"/>
              <w:ind w:firstLine="0" w:firstLineChars="0"/>
              <w:jc w:val="center"/>
              <w:rPr>
                <w:kern w:val="0"/>
                <w:sz w:val="24"/>
                <w:szCs w:val="24"/>
              </w:rPr>
            </w:pPr>
          </w:p>
        </w:tc>
        <w:tc>
          <w:tcPr>
            <w:tcW w:w="1661" w:type="dxa"/>
          </w:tcPr>
          <w:p>
            <w:pPr>
              <w:adjustRightInd w:val="0"/>
              <w:snapToGrid w:val="0"/>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法库县</w:t>
            </w:r>
          </w:p>
        </w:tc>
        <w:tc>
          <w:tcPr>
            <w:tcW w:w="2693" w:type="dxa"/>
            <w:vAlign w:val="center"/>
          </w:tcPr>
          <w:p>
            <w:pPr>
              <w:adjustRightInd w:val="0"/>
              <w:snapToGrid w:val="0"/>
              <w:spacing w:line="240" w:lineRule="auto"/>
              <w:ind w:firstLine="0" w:firstLineChars="0"/>
              <w:jc w:val="center"/>
              <w:rPr>
                <w:kern w:val="0"/>
                <w:sz w:val="24"/>
                <w:szCs w:val="24"/>
              </w:rPr>
            </w:pPr>
            <w:r>
              <w:rPr>
                <w:rFonts w:hint="eastAsia" w:cs="仿宋"/>
                <w:kern w:val="0"/>
                <w:sz w:val="24"/>
                <w:szCs w:val="24"/>
              </w:rPr>
              <w:t>秀水河镇、叶茂台镇</w:t>
            </w:r>
          </w:p>
        </w:tc>
        <w:tc>
          <w:tcPr>
            <w:tcW w:w="3969" w:type="dxa"/>
            <w:vMerge w:val="continue"/>
            <w:vAlign w:val="center"/>
          </w:tcPr>
          <w:p>
            <w:pPr>
              <w:adjustRightInd w:val="0"/>
              <w:snapToGrid w:val="0"/>
              <w:spacing w:line="240" w:lineRule="auto"/>
              <w:ind w:firstLine="0" w:firstLineChars="0"/>
              <w:jc w:val="center"/>
              <w:rPr>
                <w:kern w:val="0"/>
                <w:sz w:val="24"/>
                <w:szCs w:val="24"/>
              </w:rPr>
            </w:pPr>
          </w:p>
        </w:tc>
        <w:tc>
          <w:tcPr>
            <w:tcW w:w="1661" w:type="dxa"/>
          </w:tcPr>
          <w:p>
            <w:pPr>
              <w:adjustRightInd w:val="0"/>
              <w:snapToGrid w:val="0"/>
              <w:spacing w:line="240" w:lineRule="auto"/>
              <w:ind w:firstLine="0" w:firstLineChars="0"/>
              <w:jc w:val="center"/>
              <w:rPr>
                <w:kern w:val="0"/>
                <w:sz w:val="24"/>
                <w:szCs w:val="24"/>
              </w:rPr>
            </w:pPr>
            <w:r>
              <w:rPr>
                <w:kern w:val="0"/>
                <w:sz w:val="24"/>
                <w:szCs w:val="24"/>
              </w:rPr>
              <w:t>2022</w:t>
            </w:r>
            <w:r>
              <w:rPr>
                <w:rFonts w:hint="eastAsia" w:cs="仿宋"/>
                <w:kern w:val="0"/>
                <w:sz w:val="24"/>
                <w:szCs w:val="24"/>
              </w:rPr>
              <w:t>年</w:t>
            </w:r>
            <w:r>
              <w:rPr>
                <w:kern w:val="0"/>
                <w:sz w:val="24"/>
                <w:szCs w:val="24"/>
              </w:rPr>
              <w:t>12</w:t>
            </w:r>
            <w:r>
              <w:rPr>
                <w:rFonts w:hint="eastAsia" w:cs="仿宋"/>
                <w:kern w:val="0"/>
                <w:sz w:val="24"/>
                <w:szCs w:val="24"/>
              </w:rPr>
              <w:t>月</w:t>
            </w:r>
          </w:p>
        </w:tc>
      </w:tr>
    </w:tbl>
    <w:p>
      <w:pPr>
        <w:widowControl/>
        <w:spacing w:line="240" w:lineRule="auto"/>
        <w:ind w:firstLine="0" w:firstLineChars="0"/>
        <w:jc w:val="left"/>
        <w:rPr>
          <w:b/>
          <w:bCs/>
          <w:sz w:val="30"/>
          <w:szCs w:val="30"/>
        </w:rPr>
      </w:pPr>
    </w:p>
    <w:p>
      <w:pPr>
        <w:widowControl/>
        <w:spacing w:line="240" w:lineRule="auto"/>
        <w:ind w:firstLine="0" w:firstLineChars="0"/>
        <w:jc w:val="left"/>
        <w:rPr>
          <w:b/>
          <w:bCs/>
          <w:sz w:val="30"/>
          <w:szCs w:val="30"/>
        </w:rPr>
      </w:pPr>
    </w:p>
    <w:p>
      <w:pPr>
        <w:widowControl/>
        <w:spacing w:line="240" w:lineRule="auto"/>
        <w:ind w:firstLine="0" w:firstLineChars="0"/>
        <w:jc w:val="left"/>
        <w:rPr>
          <w:b/>
          <w:bCs/>
          <w:sz w:val="30"/>
          <w:szCs w:val="30"/>
        </w:rPr>
      </w:pPr>
      <w:r>
        <w:rPr>
          <w:b/>
          <w:bCs/>
          <w:sz w:val="30"/>
          <w:szCs w:val="30"/>
        </w:rPr>
        <w:br w:type="page"/>
      </w:r>
    </w:p>
    <w:p>
      <w:pPr>
        <w:pStyle w:val="3"/>
      </w:pPr>
      <w:bookmarkStart w:id="104" w:name="_Toc82435207"/>
      <w:bookmarkStart w:id="105" w:name="_Toc90558558"/>
      <w:r>
        <w:rPr>
          <w:rFonts w:hint="eastAsia" w:cs="仿宋"/>
        </w:rPr>
        <w:t>附件</w:t>
      </w:r>
      <w:r>
        <w:t xml:space="preserve">4 </w:t>
      </w:r>
      <w:r>
        <w:rPr>
          <w:rFonts w:hint="eastAsia" w:cs="仿宋"/>
        </w:rPr>
        <w:t>粪便、污水储池设计要求以及运营费用</w:t>
      </w:r>
      <w:bookmarkEnd w:id="104"/>
      <w:bookmarkEnd w:id="105"/>
    </w:p>
    <w:p>
      <w:pPr>
        <w:ind w:firstLine="31680"/>
        <w:rPr>
          <w:b/>
          <w:bCs/>
        </w:rPr>
      </w:pPr>
      <w:r>
        <w:rPr>
          <w:rFonts w:hint="eastAsia" w:cs="仿宋"/>
          <w:b/>
          <w:bCs/>
        </w:rPr>
        <w:t>（</w:t>
      </w:r>
      <w:r>
        <w:rPr>
          <w:b/>
          <w:bCs/>
        </w:rPr>
        <w:t>1</w:t>
      </w:r>
      <w:r>
        <w:rPr>
          <w:rFonts w:hint="eastAsia" w:cs="仿宋"/>
          <w:b/>
          <w:bCs/>
        </w:rPr>
        <w:t>）粪便贮存池</w:t>
      </w:r>
    </w:p>
    <w:p>
      <w:pPr>
        <w:ind w:firstLine="31680"/>
      </w:pPr>
      <w:r>
        <w:rPr>
          <w:rFonts w:hint="eastAsia" w:cs="仿宋"/>
        </w:rPr>
        <w:t>粪便贮存池主要用以贮存、自然发酵粪便。根据养殖规模，贮存池建设应能容纳不少于</w:t>
      </w:r>
      <w:r>
        <w:t>6</w:t>
      </w:r>
      <w:r>
        <w:rPr>
          <w:rFonts w:hint="eastAsia" w:cs="仿宋"/>
        </w:rPr>
        <w:t>个月粪便产量，单位容量为</w:t>
      </w:r>
      <w:r>
        <w:t xml:space="preserve">800 </w:t>
      </w:r>
      <w:r>
        <w:rPr>
          <w:rFonts w:hint="eastAsia" w:cs="仿宋"/>
        </w:rPr>
        <w:t>千克</w:t>
      </w:r>
      <w:r>
        <w:t>/</w:t>
      </w:r>
      <w:r>
        <w:rPr>
          <w:rFonts w:hint="eastAsia" w:cs="仿宋"/>
        </w:rPr>
        <w:t>立方米。是具有防渗漏、防雨淋、防外溢的混凝土建筑，需设计两个以上贮存单元周转使用。将净预处理调整到适宜含水率和碳氮比的粪便在贮粪场内堆肥，定期搅拌发酵腐熟，杀灭病原菌、寄生虫卵、消除恶臭。在施肥季节通过运输设备将粪肥施用到周边可消纳土地，可实现畜禽粪便的综合利用。</w:t>
      </w:r>
    </w:p>
    <w:p>
      <w:pPr>
        <w:spacing w:after="120" w:line="300" w:lineRule="auto"/>
        <w:ind w:firstLine="31680"/>
        <w:rPr>
          <w:b/>
          <w:bCs/>
        </w:rPr>
      </w:pPr>
      <w:r>
        <w:rPr>
          <w:rFonts w:hint="eastAsia" w:cs="仿宋"/>
          <w:b/>
          <w:bCs/>
        </w:rPr>
        <w:t>建设要求：</w:t>
      </w:r>
    </w:p>
    <w:p>
      <w:pPr>
        <w:pStyle w:val="43"/>
        <w:numPr>
          <w:ilvl w:val="0"/>
          <w:numId w:val="1"/>
        </w:numPr>
        <w:spacing w:after="120" w:line="300" w:lineRule="auto"/>
        <w:ind w:firstLineChars="0"/>
        <w:jc w:val="both"/>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防火等级要达到《建筑设计防火规范》（</w:t>
      </w:r>
      <w:r>
        <w:rPr>
          <w:rFonts w:ascii="Times New Roman" w:hAnsi="Times New Roman" w:eastAsia="仿宋" w:cs="Times New Roman"/>
          <w:kern w:val="2"/>
          <w:sz w:val="28"/>
          <w:szCs w:val="28"/>
        </w:rPr>
        <w:t>GB 50016</w:t>
      </w:r>
      <w:r>
        <w:rPr>
          <w:rFonts w:hint="eastAsia" w:ascii="Times New Roman" w:hAnsi="Times New Roman" w:eastAsia="仿宋" w:cs="仿宋"/>
          <w:kern w:val="2"/>
          <w:sz w:val="28"/>
          <w:szCs w:val="28"/>
        </w:rPr>
        <w:t>）中防火三级要求。</w:t>
      </w:r>
    </w:p>
    <w:p>
      <w:pPr>
        <w:pStyle w:val="43"/>
        <w:numPr>
          <w:ilvl w:val="0"/>
          <w:numId w:val="1"/>
        </w:numPr>
        <w:spacing w:after="120" w:line="300" w:lineRule="auto"/>
        <w:ind w:firstLineChars="0"/>
        <w:jc w:val="both"/>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底面为钢筋混凝土结构，底面厚度不少于</w:t>
      </w:r>
      <w:r>
        <w:rPr>
          <w:rFonts w:ascii="Times New Roman" w:hAnsi="Times New Roman" w:eastAsia="仿宋" w:cs="Times New Roman"/>
          <w:kern w:val="2"/>
          <w:sz w:val="28"/>
          <w:szCs w:val="28"/>
        </w:rPr>
        <w:t>200</w:t>
      </w:r>
      <w:r>
        <w:rPr>
          <w:rFonts w:hint="eastAsia" w:ascii="Times New Roman" w:hAnsi="Times New Roman" w:eastAsia="仿宋" w:cs="仿宋"/>
          <w:kern w:val="2"/>
          <w:sz w:val="28"/>
          <w:szCs w:val="28"/>
        </w:rPr>
        <w:t>毫米，并做防渗处理，防渗性能要达到</w:t>
      </w:r>
      <w:r>
        <w:rPr>
          <w:rFonts w:ascii="Times New Roman" w:hAnsi="Times New Roman" w:eastAsia="仿宋" w:cs="Times New Roman"/>
          <w:kern w:val="2"/>
          <w:sz w:val="28"/>
          <w:szCs w:val="28"/>
        </w:rPr>
        <w:t>GB50069</w:t>
      </w:r>
      <w:r>
        <w:rPr>
          <w:rFonts w:hint="eastAsia" w:ascii="Times New Roman" w:hAnsi="Times New Roman" w:eastAsia="仿宋" w:cs="仿宋"/>
          <w:kern w:val="2"/>
          <w:sz w:val="28"/>
          <w:szCs w:val="28"/>
        </w:rPr>
        <w:t>中抗渗等级</w:t>
      </w:r>
      <w:r>
        <w:rPr>
          <w:rFonts w:ascii="Times New Roman" w:hAnsi="Times New Roman" w:eastAsia="仿宋" w:cs="Times New Roman"/>
          <w:kern w:val="2"/>
          <w:sz w:val="28"/>
          <w:szCs w:val="28"/>
        </w:rPr>
        <w:t>S6</w:t>
      </w:r>
      <w:r>
        <w:rPr>
          <w:rFonts w:hint="eastAsia" w:ascii="Times New Roman" w:hAnsi="Times New Roman" w:eastAsia="仿宋" w:cs="仿宋"/>
          <w:kern w:val="2"/>
          <w:sz w:val="28"/>
          <w:szCs w:val="28"/>
        </w:rPr>
        <w:t>的要求。底面应满足粪便运输车荷载的需求，按《</w:t>
      </w:r>
      <w:r>
        <w:rPr>
          <w:rFonts w:ascii="Times New Roman" w:hAnsi="Times New Roman" w:eastAsia="仿宋" w:cs="Times New Roman"/>
          <w:kern w:val="2"/>
          <w:sz w:val="28"/>
          <w:szCs w:val="28"/>
        </w:rPr>
        <w:t>88J1-1</w:t>
      </w:r>
      <w:r>
        <w:rPr>
          <w:rFonts w:hint="eastAsia" w:ascii="Times New Roman" w:hAnsi="Times New Roman" w:eastAsia="仿宋" w:cs="仿宋"/>
          <w:kern w:val="2"/>
          <w:sz w:val="28"/>
          <w:szCs w:val="28"/>
        </w:rPr>
        <w:t>工程做法》（</w:t>
      </w:r>
      <w:r>
        <w:rPr>
          <w:rFonts w:ascii="Times New Roman" w:hAnsi="Times New Roman" w:eastAsia="仿宋" w:cs="Times New Roman"/>
          <w:kern w:val="2"/>
          <w:sz w:val="28"/>
          <w:szCs w:val="28"/>
        </w:rPr>
        <w:t>2005</w:t>
      </w:r>
      <w:r>
        <w:rPr>
          <w:rFonts w:hint="eastAsia" w:ascii="Times New Roman" w:hAnsi="Times New Roman" w:eastAsia="仿宋" w:cs="仿宋"/>
          <w:kern w:val="2"/>
          <w:sz w:val="28"/>
          <w:szCs w:val="28"/>
        </w:rPr>
        <w:t>）选择相应的做法。</w:t>
      </w:r>
    </w:p>
    <w:p>
      <w:pPr>
        <w:pStyle w:val="43"/>
        <w:numPr>
          <w:ilvl w:val="0"/>
          <w:numId w:val="1"/>
        </w:numPr>
        <w:spacing w:after="120" w:line="300" w:lineRule="auto"/>
        <w:ind w:firstLineChars="0"/>
        <w:jc w:val="both"/>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墙体为钢筋混凝土结构，墙体厚度不少于</w:t>
      </w:r>
      <w:r>
        <w:rPr>
          <w:rFonts w:ascii="Times New Roman" w:hAnsi="Times New Roman" w:eastAsia="仿宋" w:cs="Times New Roman"/>
          <w:kern w:val="2"/>
          <w:sz w:val="28"/>
          <w:szCs w:val="28"/>
        </w:rPr>
        <w:t>240</w:t>
      </w:r>
      <w:r>
        <w:rPr>
          <w:rFonts w:hint="eastAsia" w:ascii="Times New Roman" w:hAnsi="Times New Roman" w:eastAsia="仿宋" w:cs="仿宋"/>
          <w:kern w:val="2"/>
          <w:sz w:val="28"/>
          <w:szCs w:val="28"/>
        </w:rPr>
        <w:t>毫米，并做防渗处理，防渗性能要达到</w:t>
      </w:r>
      <w:r>
        <w:rPr>
          <w:rFonts w:ascii="Times New Roman" w:hAnsi="Times New Roman" w:eastAsia="仿宋" w:cs="Times New Roman"/>
          <w:kern w:val="2"/>
          <w:sz w:val="28"/>
          <w:szCs w:val="28"/>
        </w:rPr>
        <w:t>GB50069</w:t>
      </w:r>
      <w:r>
        <w:rPr>
          <w:rFonts w:hint="eastAsia" w:ascii="Times New Roman" w:hAnsi="Times New Roman" w:eastAsia="仿宋" w:cs="仿宋"/>
          <w:kern w:val="2"/>
          <w:sz w:val="28"/>
          <w:szCs w:val="28"/>
        </w:rPr>
        <w:t>中抗渗等级</w:t>
      </w:r>
      <w:r>
        <w:rPr>
          <w:rFonts w:ascii="Times New Roman" w:hAnsi="Times New Roman" w:eastAsia="仿宋" w:cs="Times New Roman"/>
          <w:kern w:val="2"/>
          <w:sz w:val="28"/>
          <w:szCs w:val="28"/>
        </w:rPr>
        <w:t>S6</w:t>
      </w:r>
      <w:r>
        <w:rPr>
          <w:rFonts w:hint="eastAsia" w:ascii="Times New Roman" w:hAnsi="Times New Roman" w:eastAsia="仿宋" w:cs="仿宋"/>
          <w:kern w:val="2"/>
          <w:sz w:val="28"/>
          <w:szCs w:val="28"/>
        </w:rPr>
        <w:t>的要求。</w:t>
      </w:r>
    </w:p>
    <w:p>
      <w:pPr>
        <w:pStyle w:val="43"/>
        <w:numPr>
          <w:ilvl w:val="0"/>
          <w:numId w:val="1"/>
        </w:numPr>
        <w:spacing w:after="120" w:line="300" w:lineRule="auto"/>
        <w:ind w:firstLineChars="0"/>
        <w:jc w:val="both"/>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顶部设置防雨棚，防雨棚采用彩钢瓦等抗风防压材料，雨棚下玄与设施地面净高不应低于</w:t>
      </w:r>
      <w:r>
        <w:rPr>
          <w:rFonts w:ascii="Times New Roman" w:hAnsi="Times New Roman" w:eastAsia="仿宋" w:cs="Times New Roman"/>
          <w:kern w:val="2"/>
          <w:sz w:val="28"/>
          <w:szCs w:val="28"/>
        </w:rPr>
        <w:t>3.5</w:t>
      </w:r>
      <w:r>
        <w:rPr>
          <w:rFonts w:hint="eastAsia" w:ascii="Times New Roman" w:hAnsi="Times New Roman" w:eastAsia="仿宋" w:cs="仿宋"/>
          <w:kern w:val="2"/>
          <w:sz w:val="28"/>
          <w:szCs w:val="28"/>
        </w:rPr>
        <w:t>米。</w:t>
      </w:r>
    </w:p>
    <w:p>
      <w:pPr>
        <w:ind w:firstLine="0" w:firstLineChars="0"/>
        <w:jc w:val="center"/>
      </w:pPr>
      <w:r>
        <w:pict>
          <v:rect id="矩形 1" o:spid="_x0000_s1027" o:spt="1" style="position:absolute;left:0pt;margin-left:318.75pt;margin-top:221.25pt;height:20.25pt;width:126pt;z-index:251660288;v-text-anchor:middle;mso-width-relative:page;mso-height-relative:page;" stroked="f" coordsize="21600,21600">
            <v:path/>
            <v:fill focussize="0,0"/>
            <v:stroke on="f" weight="1pt"/>
            <v:imagedata o:title=""/>
            <o:lock v:ext="edit"/>
          </v:rect>
        </w:pict>
      </w:r>
      <w:r>
        <w:pict>
          <v:shape id="_x0000_i1030" o:spt="75" type="#_x0000_t75" style="height:180.75pt;width:421.5pt;" filled="f" o:preferrelative="t" stroked="f" coordsize="21600,21600">
            <v:path/>
            <v:fill on="f" focussize="0,0"/>
            <v:stroke on="f" joinstyle="miter"/>
            <v:imagedata r:id="rId17" cropleft="21972f" croptop="22458f" cropright="11404f" cropbottom="13747f" o:title=""/>
            <o:lock v:ext="edit" aspectratio="t"/>
            <w10:wrap type="none"/>
            <w10:anchorlock/>
          </v:shape>
        </w:pict>
      </w:r>
    </w:p>
    <w:p>
      <w:pPr>
        <w:pStyle w:val="5"/>
        <w:spacing w:before="190"/>
      </w:pPr>
      <w:r>
        <w:rPr>
          <w:rFonts w:hint="eastAsia" w:cs="仿宋"/>
        </w:rPr>
        <w:t>图</w:t>
      </w:r>
      <w:r>
        <w:t xml:space="preserve">1 </w:t>
      </w:r>
      <w:r>
        <w:rPr>
          <w:rFonts w:hint="eastAsia" w:cs="仿宋"/>
        </w:rPr>
        <w:t>地上式粪便贮存池示意图</w:t>
      </w:r>
    </w:p>
    <w:p>
      <w:pPr>
        <w:pStyle w:val="5"/>
        <w:spacing w:before="190"/>
      </w:pPr>
      <w:r>
        <w:rPr>
          <w:rFonts w:hint="eastAsia" w:cs="仿宋"/>
        </w:rPr>
        <w:t>表</w:t>
      </w:r>
      <w:r>
        <w:t xml:space="preserve">1 </w:t>
      </w:r>
      <w:r>
        <w:rPr>
          <w:rFonts w:hint="eastAsia" w:cs="仿宋"/>
        </w:rPr>
        <w:t>不同养殖规模粪便贮存池尺寸与投资参考</w:t>
      </w:r>
    </w:p>
    <w:tbl>
      <w:tblPr>
        <w:tblStyle w:val="20"/>
        <w:tblW w:w="42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2321"/>
        <w:gridCol w:w="2028"/>
        <w:gridCol w:w="2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5"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养殖规模（头）</w:t>
            </w:r>
          </w:p>
        </w:tc>
        <w:tc>
          <w:tcPr>
            <w:tcW w:w="1380"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有效容积（</w:t>
            </w:r>
            <w:r>
              <w:rPr>
                <w:b/>
                <w:bCs/>
                <w:sz w:val="24"/>
                <w:szCs w:val="24"/>
              </w:rPr>
              <w:t>m</w:t>
            </w:r>
            <w:r>
              <w:rPr>
                <w:b/>
                <w:bCs/>
                <w:sz w:val="24"/>
                <w:szCs w:val="24"/>
                <w:vertAlign w:val="superscript"/>
              </w:rPr>
              <w:t>3</w:t>
            </w:r>
            <w:r>
              <w:rPr>
                <w:rFonts w:hint="eastAsia" w:cs="仿宋"/>
                <w:b/>
                <w:bCs/>
                <w:sz w:val="24"/>
                <w:szCs w:val="24"/>
              </w:rPr>
              <w:t>）</w:t>
            </w:r>
          </w:p>
        </w:tc>
        <w:tc>
          <w:tcPr>
            <w:tcW w:w="1206"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面积（</w:t>
            </w:r>
            <w:r>
              <w:rPr>
                <w:b/>
                <w:bCs/>
                <w:sz w:val="24"/>
                <w:szCs w:val="24"/>
              </w:rPr>
              <w:t>m</w:t>
            </w:r>
            <w:r>
              <w:rPr>
                <w:b/>
                <w:bCs/>
                <w:sz w:val="24"/>
                <w:szCs w:val="24"/>
                <w:vertAlign w:val="superscript"/>
              </w:rPr>
              <w:t>2</w:t>
            </w:r>
            <w:r>
              <w:rPr>
                <w:rFonts w:hint="eastAsia" w:cs="仿宋"/>
                <w:b/>
                <w:bCs/>
                <w:sz w:val="24"/>
                <w:szCs w:val="24"/>
              </w:rPr>
              <w:t>）</w:t>
            </w:r>
          </w:p>
        </w:tc>
        <w:tc>
          <w:tcPr>
            <w:tcW w:w="1209"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围墙高（</w:t>
            </w:r>
            <w:r>
              <w:rPr>
                <w:b/>
                <w:bCs/>
                <w:sz w:val="24"/>
                <w:szCs w:val="24"/>
              </w:rPr>
              <w:t>m</w:t>
            </w:r>
            <w:r>
              <w:rPr>
                <w:rFonts w:hint="eastAsia" w:cs="仿宋"/>
                <w:b/>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5" w:type="pct"/>
            <w:vAlign w:val="center"/>
          </w:tcPr>
          <w:p>
            <w:pPr>
              <w:adjustRightInd w:val="0"/>
              <w:snapToGrid w:val="0"/>
              <w:spacing w:line="240" w:lineRule="auto"/>
              <w:ind w:firstLine="0" w:firstLineChars="0"/>
              <w:jc w:val="center"/>
              <w:rPr>
                <w:sz w:val="24"/>
                <w:szCs w:val="24"/>
              </w:rPr>
            </w:pPr>
            <w:r>
              <w:rPr>
                <w:sz w:val="24"/>
                <w:szCs w:val="24"/>
              </w:rPr>
              <w:t>200</w:t>
            </w:r>
          </w:p>
        </w:tc>
        <w:tc>
          <w:tcPr>
            <w:tcW w:w="1380"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67.5</w:t>
            </w:r>
          </w:p>
        </w:tc>
        <w:tc>
          <w:tcPr>
            <w:tcW w:w="1206"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45</w:t>
            </w:r>
          </w:p>
        </w:tc>
        <w:tc>
          <w:tcPr>
            <w:tcW w:w="1209"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5" w:type="pct"/>
            <w:vAlign w:val="center"/>
          </w:tcPr>
          <w:p>
            <w:pPr>
              <w:adjustRightInd w:val="0"/>
              <w:snapToGrid w:val="0"/>
              <w:spacing w:line="240" w:lineRule="auto"/>
              <w:ind w:firstLine="0" w:firstLineChars="0"/>
              <w:jc w:val="center"/>
              <w:rPr>
                <w:sz w:val="24"/>
                <w:szCs w:val="24"/>
              </w:rPr>
            </w:pPr>
            <w:r>
              <w:rPr>
                <w:sz w:val="24"/>
                <w:szCs w:val="24"/>
              </w:rPr>
              <w:t>500</w:t>
            </w:r>
          </w:p>
        </w:tc>
        <w:tc>
          <w:tcPr>
            <w:tcW w:w="1380"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169</w:t>
            </w:r>
          </w:p>
        </w:tc>
        <w:tc>
          <w:tcPr>
            <w:tcW w:w="1206"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113</w:t>
            </w:r>
          </w:p>
        </w:tc>
        <w:tc>
          <w:tcPr>
            <w:tcW w:w="1209"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5" w:type="pct"/>
            <w:vAlign w:val="center"/>
          </w:tcPr>
          <w:p>
            <w:pPr>
              <w:adjustRightInd w:val="0"/>
              <w:snapToGrid w:val="0"/>
              <w:spacing w:line="240" w:lineRule="auto"/>
              <w:ind w:firstLine="0" w:firstLineChars="0"/>
              <w:jc w:val="center"/>
              <w:rPr>
                <w:sz w:val="24"/>
                <w:szCs w:val="24"/>
              </w:rPr>
            </w:pPr>
            <w:r>
              <w:rPr>
                <w:sz w:val="24"/>
                <w:szCs w:val="24"/>
              </w:rPr>
              <w:t>1000</w:t>
            </w:r>
          </w:p>
        </w:tc>
        <w:tc>
          <w:tcPr>
            <w:tcW w:w="1380"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338</w:t>
            </w:r>
          </w:p>
        </w:tc>
        <w:tc>
          <w:tcPr>
            <w:tcW w:w="1206"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225</w:t>
            </w:r>
          </w:p>
        </w:tc>
        <w:tc>
          <w:tcPr>
            <w:tcW w:w="1209"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5" w:type="pct"/>
            <w:vAlign w:val="center"/>
          </w:tcPr>
          <w:p>
            <w:pPr>
              <w:adjustRightInd w:val="0"/>
              <w:snapToGrid w:val="0"/>
              <w:spacing w:line="240" w:lineRule="auto"/>
              <w:ind w:firstLine="0" w:firstLineChars="0"/>
              <w:jc w:val="center"/>
              <w:rPr>
                <w:sz w:val="24"/>
                <w:szCs w:val="24"/>
              </w:rPr>
            </w:pPr>
            <w:r>
              <w:rPr>
                <w:sz w:val="24"/>
                <w:szCs w:val="24"/>
              </w:rPr>
              <w:t>2000</w:t>
            </w:r>
          </w:p>
        </w:tc>
        <w:tc>
          <w:tcPr>
            <w:tcW w:w="1380"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675</w:t>
            </w:r>
          </w:p>
        </w:tc>
        <w:tc>
          <w:tcPr>
            <w:tcW w:w="1206"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450</w:t>
            </w:r>
          </w:p>
        </w:tc>
        <w:tc>
          <w:tcPr>
            <w:tcW w:w="1209" w:type="pct"/>
            <w:vAlign w:val="center"/>
          </w:tcPr>
          <w:p>
            <w:pPr>
              <w:pStyle w:val="44"/>
              <w:adjustRightInd w:val="0"/>
              <w:snapToGrid w:val="0"/>
              <w:ind w:firstLine="560"/>
              <w:jc w:val="center"/>
              <w:rPr>
                <w:rFonts w:ascii="Times New Roman" w:hAnsi="Times New Roman" w:eastAsia="仿宋" w:cs="Times New Roman"/>
              </w:rPr>
            </w:pPr>
            <w:r>
              <w:rPr>
                <w:rFonts w:ascii="Times New Roman" w:hAnsi="Times New Roman" w:eastAsia="仿宋" w:cs="Times New Roman"/>
              </w:rPr>
              <w:t>1.5</w:t>
            </w:r>
          </w:p>
        </w:tc>
      </w:tr>
    </w:tbl>
    <w:p>
      <w:pPr>
        <w:spacing w:after="120"/>
        <w:ind w:firstLine="31680"/>
        <w:rPr>
          <w:sz w:val="24"/>
          <w:szCs w:val="24"/>
        </w:rPr>
      </w:pPr>
      <w:r>
        <w:rPr>
          <w:rFonts w:hint="eastAsia" w:cs="仿宋"/>
          <w:sz w:val="24"/>
          <w:szCs w:val="24"/>
        </w:rPr>
        <w:t>注：粪便贮存池体积（立方米）</w:t>
      </w:r>
      <w:r>
        <w:rPr>
          <w:sz w:val="24"/>
          <w:szCs w:val="24"/>
        </w:rPr>
        <w:t>=</w:t>
      </w:r>
      <w:r>
        <w:rPr>
          <w:rFonts w:hint="eastAsia" w:cs="仿宋"/>
          <w:sz w:val="24"/>
          <w:szCs w:val="24"/>
        </w:rPr>
        <w:t>设计最大存栏量（头、只）</w:t>
      </w:r>
      <w:r>
        <w:rPr>
          <w:sz w:val="24"/>
          <w:szCs w:val="24"/>
        </w:rPr>
        <w:t>×</w:t>
      </w:r>
      <w:r>
        <w:rPr>
          <w:rFonts w:hint="eastAsia" w:cs="仿宋"/>
          <w:sz w:val="24"/>
          <w:szCs w:val="24"/>
        </w:rPr>
        <w:t>每头每天产粪便量（千克</w:t>
      </w:r>
      <w:r>
        <w:rPr>
          <w:sz w:val="24"/>
          <w:szCs w:val="24"/>
        </w:rPr>
        <w:t>/</w:t>
      </w:r>
      <w:r>
        <w:rPr>
          <w:rFonts w:hint="eastAsia" w:cs="仿宋"/>
          <w:sz w:val="24"/>
          <w:szCs w:val="24"/>
        </w:rPr>
        <w:t>头</w:t>
      </w:r>
      <w:r>
        <w:rPr>
          <w:sz w:val="24"/>
          <w:szCs w:val="24"/>
        </w:rPr>
        <w:t>•</w:t>
      </w:r>
      <w:r>
        <w:rPr>
          <w:rFonts w:hint="eastAsia" w:cs="仿宋"/>
          <w:sz w:val="24"/>
          <w:szCs w:val="24"/>
        </w:rPr>
        <w:t>天）</w:t>
      </w:r>
      <w:r>
        <w:rPr>
          <w:sz w:val="24"/>
          <w:szCs w:val="24"/>
        </w:rPr>
        <w:t>×180</w:t>
      </w:r>
      <w:r>
        <w:rPr>
          <w:rFonts w:hint="eastAsia" w:cs="仿宋"/>
          <w:sz w:val="24"/>
          <w:szCs w:val="24"/>
        </w:rPr>
        <w:t>（天）</w:t>
      </w:r>
      <w:r>
        <w:rPr>
          <w:sz w:val="24"/>
          <w:szCs w:val="24"/>
        </w:rPr>
        <w:t>÷</w:t>
      </w:r>
      <w:r>
        <w:rPr>
          <w:rFonts w:hint="eastAsia" w:cs="仿宋"/>
          <w:sz w:val="24"/>
          <w:szCs w:val="24"/>
        </w:rPr>
        <w:t>单位容量</w:t>
      </w:r>
      <w:r>
        <w:rPr>
          <w:sz w:val="24"/>
          <w:szCs w:val="24"/>
        </w:rPr>
        <w:t>800</w:t>
      </w:r>
      <w:r>
        <w:rPr>
          <w:rFonts w:hint="eastAsia" w:cs="仿宋"/>
          <w:sz w:val="24"/>
          <w:szCs w:val="24"/>
        </w:rPr>
        <w:t>（千克</w:t>
      </w:r>
      <w:r>
        <w:rPr>
          <w:sz w:val="24"/>
          <w:szCs w:val="24"/>
        </w:rPr>
        <w:t>/</w:t>
      </w:r>
      <w:r>
        <w:rPr>
          <w:rFonts w:hint="eastAsia" w:cs="仿宋"/>
          <w:sz w:val="24"/>
          <w:szCs w:val="24"/>
        </w:rPr>
        <w:t>立方米）</w:t>
      </w:r>
    </w:p>
    <w:p>
      <w:pPr>
        <w:spacing w:after="120"/>
        <w:ind w:firstLine="31680"/>
        <w:rPr>
          <w:b/>
          <w:bCs/>
        </w:rPr>
      </w:pPr>
      <w:r>
        <w:rPr>
          <w:rFonts w:hint="eastAsia" w:cs="仿宋"/>
          <w:b/>
          <w:bCs/>
        </w:rPr>
        <w:t>（</w:t>
      </w:r>
      <w:r>
        <w:rPr>
          <w:b/>
          <w:bCs/>
        </w:rPr>
        <w:t>2</w:t>
      </w:r>
      <w:r>
        <w:rPr>
          <w:rFonts w:hint="eastAsia" w:cs="仿宋"/>
          <w:b/>
          <w:bCs/>
        </w:rPr>
        <w:t>）污水贮存池</w:t>
      </w:r>
    </w:p>
    <w:p>
      <w:pPr>
        <w:spacing w:after="120"/>
        <w:ind w:firstLine="31680"/>
      </w:pPr>
      <w:r>
        <w:rPr>
          <w:rFonts w:hint="eastAsia" w:cs="仿宋"/>
        </w:rPr>
        <w:t>污水贮存池设可建为地下式，根据场地的大小、位置和土质条件确定。污水贮存池的有效容积设计应大于养殖场最大存栏量时、贮存时间不低于</w:t>
      </w:r>
      <w:r>
        <w:t>6</w:t>
      </w:r>
      <w:r>
        <w:rPr>
          <w:rFonts w:hint="eastAsia" w:cs="仿宋"/>
        </w:rPr>
        <w:t>个月的污水产生总量，单位容量为</w:t>
      </w:r>
      <w:r>
        <w:t>1000</w:t>
      </w:r>
      <w:r>
        <w:rPr>
          <w:rFonts w:hint="eastAsia" w:cs="仿宋"/>
        </w:rPr>
        <w:t>千克</w:t>
      </w:r>
      <w:r>
        <w:t>/</w:t>
      </w:r>
      <w:r>
        <w:rPr>
          <w:rFonts w:hint="eastAsia" w:cs="仿宋"/>
        </w:rPr>
        <w:t>立方米。</w:t>
      </w:r>
    </w:p>
    <w:p>
      <w:pPr>
        <w:ind w:firstLine="31680"/>
        <w:rPr>
          <w:b/>
          <w:bCs/>
        </w:rPr>
      </w:pPr>
      <w:r>
        <w:rPr>
          <w:rFonts w:hint="eastAsia" w:cs="仿宋"/>
          <w:b/>
          <w:bCs/>
        </w:rPr>
        <w:t>建设要求：</w:t>
      </w:r>
    </w:p>
    <w:p>
      <w:pPr>
        <w:pStyle w:val="44"/>
        <w:numPr>
          <w:ilvl w:val="0"/>
          <w:numId w:val="2"/>
        </w:numPr>
        <w:spacing w:line="360" w:lineRule="auto"/>
        <w:ind w:firstLine="560"/>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底面为钢筋混凝土结构，底面高于地下水位</w:t>
      </w:r>
      <w:r>
        <w:rPr>
          <w:rFonts w:ascii="Times New Roman" w:hAnsi="Times New Roman" w:eastAsia="仿宋" w:cs="Times New Roman"/>
          <w:kern w:val="2"/>
          <w:sz w:val="28"/>
          <w:szCs w:val="28"/>
        </w:rPr>
        <w:t>0.6</w:t>
      </w:r>
      <w:r>
        <w:rPr>
          <w:rFonts w:hint="eastAsia" w:ascii="Times New Roman" w:hAnsi="Times New Roman" w:eastAsia="仿宋" w:cs="仿宋"/>
          <w:kern w:val="2"/>
          <w:sz w:val="28"/>
          <w:szCs w:val="28"/>
        </w:rPr>
        <w:t>米以上。底面厚度不少于</w:t>
      </w:r>
      <w:r>
        <w:rPr>
          <w:rFonts w:ascii="Times New Roman" w:hAnsi="Times New Roman" w:eastAsia="仿宋" w:cs="Times New Roman"/>
          <w:kern w:val="2"/>
          <w:sz w:val="28"/>
          <w:szCs w:val="28"/>
        </w:rPr>
        <w:t>200</w:t>
      </w:r>
      <w:r>
        <w:rPr>
          <w:rFonts w:hint="eastAsia" w:ascii="Times New Roman" w:hAnsi="Times New Roman" w:eastAsia="仿宋" w:cs="仿宋"/>
          <w:kern w:val="2"/>
          <w:sz w:val="28"/>
          <w:szCs w:val="28"/>
        </w:rPr>
        <w:t>毫米，并做防渗处理，防渗性能要达到</w:t>
      </w:r>
      <w:r>
        <w:rPr>
          <w:rFonts w:ascii="Times New Roman" w:hAnsi="Times New Roman" w:eastAsia="仿宋" w:cs="Times New Roman"/>
          <w:kern w:val="2"/>
          <w:sz w:val="28"/>
          <w:szCs w:val="28"/>
        </w:rPr>
        <w:t>GB 50069</w:t>
      </w:r>
      <w:r>
        <w:rPr>
          <w:rFonts w:hint="eastAsia" w:ascii="Times New Roman" w:hAnsi="Times New Roman" w:eastAsia="仿宋" w:cs="仿宋"/>
          <w:kern w:val="2"/>
          <w:sz w:val="28"/>
          <w:szCs w:val="28"/>
        </w:rPr>
        <w:t>中抗渗等级</w:t>
      </w:r>
      <w:r>
        <w:rPr>
          <w:rFonts w:ascii="Times New Roman" w:hAnsi="Times New Roman" w:eastAsia="仿宋" w:cs="Times New Roman"/>
          <w:kern w:val="2"/>
          <w:sz w:val="28"/>
          <w:szCs w:val="28"/>
        </w:rPr>
        <w:t>S6</w:t>
      </w:r>
      <w:r>
        <w:rPr>
          <w:rFonts w:hint="eastAsia" w:ascii="Times New Roman" w:hAnsi="Times New Roman" w:eastAsia="仿宋" w:cs="仿宋"/>
          <w:kern w:val="2"/>
          <w:sz w:val="28"/>
          <w:szCs w:val="28"/>
        </w:rPr>
        <w:t>的要求。</w:t>
      </w:r>
    </w:p>
    <w:p>
      <w:pPr>
        <w:pStyle w:val="44"/>
        <w:numPr>
          <w:ilvl w:val="0"/>
          <w:numId w:val="2"/>
        </w:numPr>
        <w:spacing w:line="360" w:lineRule="auto"/>
        <w:ind w:firstLine="560"/>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墙体为钢筋混凝土结构，墙体厚度不少于</w:t>
      </w:r>
      <w:r>
        <w:rPr>
          <w:rFonts w:ascii="Times New Roman" w:hAnsi="Times New Roman" w:eastAsia="仿宋" w:cs="Times New Roman"/>
          <w:kern w:val="2"/>
          <w:sz w:val="28"/>
          <w:szCs w:val="28"/>
        </w:rPr>
        <w:t>360</w:t>
      </w:r>
      <w:r>
        <w:rPr>
          <w:rFonts w:hint="eastAsia" w:ascii="Times New Roman" w:hAnsi="Times New Roman" w:eastAsia="仿宋" w:cs="仿宋"/>
          <w:kern w:val="2"/>
          <w:sz w:val="28"/>
          <w:szCs w:val="28"/>
        </w:rPr>
        <w:t>毫米，高度不超过</w:t>
      </w:r>
      <w:r>
        <w:rPr>
          <w:rFonts w:ascii="Times New Roman" w:hAnsi="Times New Roman" w:eastAsia="仿宋" w:cs="Times New Roman"/>
          <w:kern w:val="2"/>
          <w:sz w:val="28"/>
          <w:szCs w:val="28"/>
        </w:rPr>
        <w:t>6</w:t>
      </w:r>
      <w:r>
        <w:rPr>
          <w:rFonts w:hint="eastAsia" w:ascii="Times New Roman" w:hAnsi="Times New Roman" w:eastAsia="仿宋" w:cs="仿宋"/>
          <w:kern w:val="2"/>
          <w:sz w:val="28"/>
          <w:szCs w:val="28"/>
        </w:rPr>
        <w:t>米。</w:t>
      </w:r>
    </w:p>
    <w:p>
      <w:pPr>
        <w:pStyle w:val="44"/>
        <w:numPr>
          <w:ilvl w:val="0"/>
          <w:numId w:val="2"/>
        </w:numPr>
        <w:spacing w:line="360" w:lineRule="auto"/>
        <w:ind w:firstLine="560"/>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顶部钢筋混凝土结构盖板或防雨棚，防雨棚采用彩钢瓦等抗风防压材料。设施周围应设置排水沟，防止径流、雨水进入贮存设施内，排水沟不得与排污沟并流。</w:t>
      </w:r>
    </w:p>
    <w:p>
      <w:pPr>
        <w:pStyle w:val="44"/>
        <w:numPr>
          <w:ilvl w:val="0"/>
          <w:numId w:val="2"/>
        </w:numPr>
        <w:spacing w:line="360" w:lineRule="auto"/>
        <w:ind w:firstLine="560"/>
        <w:rPr>
          <w:rFonts w:ascii="Times New Roman" w:hAnsi="Times New Roman" w:eastAsia="仿宋" w:cs="Times New Roman"/>
          <w:kern w:val="2"/>
          <w:sz w:val="28"/>
          <w:szCs w:val="28"/>
        </w:rPr>
      </w:pPr>
      <w:r>
        <w:rPr>
          <w:rFonts w:hint="eastAsia" w:ascii="Times New Roman" w:hAnsi="Times New Roman" w:eastAsia="仿宋" w:cs="仿宋"/>
          <w:kern w:val="2"/>
          <w:sz w:val="28"/>
          <w:szCs w:val="28"/>
        </w:rPr>
        <w:t>进水管道直径最小为</w:t>
      </w:r>
      <w:r>
        <w:rPr>
          <w:rFonts w:ascii="Times New Roman" w:hAnsi="Times New Roman" w:eastAsia="仿宋" w:cs="Times New Roman"/>
          <w:kern w:val="2"/>
          <w:sz w:val="28"/>
          <w:szCs w:val="28"/>
        </w:rPr>
        <w:t>300</w:t>
      </w:r>
      <w:r>
        <w:rPr>
          <w:rFonts w:hint="eastAsia" w:ascii="Times New Roman" w:hAnsi="Times New Roman" w:eastAsia="仿宋" w:cs="仿宋"/>
          <w:kern w:val="2"/>
          <w:sz w:val="28"/>
          <w:szCs w:val="28"/>
        </w:rPr>
        <w:t>毫米。防火等级要达到</w:t>
      </w:r>
      <w:r>
        <w:rPr>
          <w:rFonts w:ascii="Times New Roman" w:hAnsi="Times New Roman" w:eastAsia="仿宋" w:cs="Times New Roman"/>
          <w:kern w:val="2"/>
          <w:sz w:val="28"/>
          <w:szCs w:val="28"/>
        </w:rPr>
        <w:t>GB 50016</w:t>
      </w:r>
      <w:r>
        <w:rPr>
          <w:rFonts w:hint="eastAsia" w:ascii="Times New Roman" w:hAnsi="Times New Roman" w:eastAsia="仿宋" w:cs="仿宋"/>
          <w:kern w:val="2"/>
          <w:sz w:val="28"/>
          <w:szCs w:val="28"/>
        </w:rPr>
        <w:t>中防火三级要求。</w:t>
      </w:r>
    </w:p>
    <w:p>
      <w:pPr>
        <w:pStyle w:val="44"/>
        <w:spacing w:line="360" w:lineRule="auto"/>
        <w:ind w:firstLine="560"/>
        <w:jc w:val="center"/>
        <w:rPr>
          <w:rFonts w:ascii="Times New Roman" w:hAnsi="Times New Roman" w:eastAsia="仿宋" w:cs="Times New Roman"/>
          <w:sz w:val="28"/>
          <w:szCs w:val="28"/>
        </w:rPr>
      </w:pPr>
      <w:r>
        <w:rPr>
          <w:rFonts w:ascii="Times New Roman" w:hAnsi="Times New Roman" w:cs="Times New Roman"/>
          <w:sz w:val="28"/>
          <w:szCs w:val="28"/>
        </w:rPr>
        <w:pict>
          <v:shape id="_x0000_i1031" o:spt="75" type="#_x0000_t75" style="height:162pt;width:354pt;" filled="f" o:preferrelative="t" stroked="f" coordsize="21600,21600">
            <v:path/>
            <v:fill on="f" focussize="0,0"/>
            <v:stroke on="f" joinstyle="miter"/>
            <v:imagedata r:id="rId18" cropleft="11551f" croptop="16664f" cropright="28687f" cropbottom="26104f" o:title=""/>
            <o:lock v:ext="edit" aspectratio="t"/>
            <w10:wrap type="none"/>
            <w10:anchorlock/>
          </v:shape>
        </w:pict>
      </w:r>
    </w:p>
    <w:p>
      <w:pPr>
        <w:pStyle w:val="5"/>
        <w:spacing w:before="190"/>
      </w:pPr>
      <w:r>
        <w:rPr>
          <w:rFonts w:hint="eastAsia" w:cs="仿宋"/>
        </w:rPr>
        <w:t>图</w:t>
      </w:r>
      <w:r>
        <w:t xml:space="preserve">2 </w:t>
      </w:r>
      <w:r>
        <w:rPr>
          <w:rFonts w:hint="eastAsia" w:cs="仿宋"/>
        </w:rPr>
        <w:t>多级污水贮存池剖面图</w:t>
      </w:r>
    </w:p>
    <w:p>
      <w:pPr>
        <w:pStyle w:val="5"/>
        <w:spacing w:before="190"/>
      </w:pPr>
      <w:r>
        <w:pict>
          <v:shape id="_x0000_s1028" o:spid="_x0000_s1028" o:spt="202" type="#_x0000_t202" style="position:absolute;left:0pt;margin-left:164.15pt;margin-top:4.15pt;height:742.8pt;width:291.9pt;z-index:-251655168;mso-width-relative:page;mso-height-relative:page;" stroked="f" coordsize="21600,21600">
            <v:path/>
            <v:fill focussize="0,0"/>
            <v:stroke on="f" joinstyle="miter"/>
            <v:imagedata o:title=""/>
            <o:lock v:ext="edit"/>
            <v:textbox>
              <w:txbxContent>
                <w:p>
                  <w:pPr>
                    <w:pStyle w:val="44"/>
                    <w:numPr>
                      <w:ilvl w:val="0"/>
                      <w:numId w:val="2"/>
                    </w:numPr>
                    <w:spacing w:line="360" w:lineRule="auto"/>
                    <w:ind w:firstLine="560"/>
                    <w:rPr>
                      <w:rFonts w:cs="Times New Roman"/>
                    </w:rPr>
                  </w:pPr>
                </w:p>
              </w:txbxContent>
            </v:textbox>
          </v:shape>
        </w:pict>
      </w:r>
      <w:r>
        <w:rPr>
          <w:rFonts w:hint="eastAsia" w:cs="仿宋"/>
        </w:rPr>
        <w:t>表</w:t>
      </w:r>
      <w:r>
        <w:t xml:space="preserve">2 </w:t>
      </w:r>
      <w:r>
        <w:rPr>
          <w:rFonts w:hint="eastAsia" w:cs="仿宋"/>
        </w:rPr>
        <w:t>不同规模污水贮存池（以猪计）</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2736"/>
        <w:gridCol w:w="2568"/>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9"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养殖规模</w:t>
            </w:r>
            <w:r>
              <w:rPr>
                <w:b/>
                <w:bCs/>
                <w:sz w:val="24"/>
                <w:szCs w:val="24"/>
              </w:rPr>
              <w:t>(</w:t>
            </w:r>
            <w:r>
              <w:rPr>
                <w:rFonts w:hint="eastAsia" w:cs="仿宋"/>
                <w:b/>
                <w:bCs/>
                <w:sz w:val="24"/>
                <w:szCs w:val="24"/>
              </w:rPr>
              <w:t>头</w:t>
            </w:r>
            <w:r>
              <w:rPr>
                <w:b/>
                <w:bCs/>
                <w:sz w:val="24"/>
                <w:szCs w:val="24"/>
              </w:rPr>
              <w:t>)</w:t>
            </w:r>
          </w:p>
        </w:tc>
        <w:tc>
          <w:tcPr>
            <w:tcW w:w="1373"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有效容积（</w:t>
            </w:r>
            <w:r>
              <w:rPr>
                <w:b/>
                <w:bCs/>
                <w:sz w:val="24"/>
                <w:szCs w:val="24"/>
              </w:rPr>
              <w:t>m</w:t>
            </w:r>
            <w:r>
              <w:rPr>
                <w:b/>
                <w:bCs/>
                <w:sz w:val="24"/>
                <w:szCs w:val="24"/>
                <w:vertAlign w:val="superscript"/>
              </w:rPr>
              <w:t>3</w:t>
            </w:r>
            <w:r>
              <w:rPr>
                <w:rFonts w:hint="eastAsia" w:cs="仿宋"/>
                <w:b/>
                <w:bCs/>
                <w:sz w:val="24"/>
                <w:szCs w:val="24"/>
              </w:rPr>
              <w:t>）</w:t>
            </w:r>
          </w:p>
        </w:tc>
        <w:tc>
          <w:tcPr>
            <w:tcW w:w="1289"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面积（</w:t>
            </w:r>
            <w:r>
              <w:rPr>
                <w:b/>
                <w:bCs/>
                <w:sz w:val="24"/>
                <w:szCs w:val="24"/>
              </w:rPr>
              <w:t>m</w:t>
            </w:r>
            <w:r>
              <w:rPr>
                <w:b/>
                <w:bCs/>
                <w:sz w:val="24"/>
                <w:szCs w:val="24"/>
                <w:vertAlign w:val="superscript"/>
              </w:rPr>
              <w:t>2</w:t>
            </w:r>
            <w:r>
              <w:rPr>
                <w:rFonts w:hint="eastAsia" w:cs="仿宋"/>
                <w:b/>
                <w:bCs/>
                <w:sz w:val="24"/>
                <w:szCs w:val="24"/>
              </w:rPr>
              <w:t>）</w:t>
            </w:r>
          </w:p>
        </w:tc>
        <w:tc>
          <w:tcPr>
            <w:tcW w:w="959"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深度（</w:t>
            </w:r>
            <w:r>
              <w:rPr>
                <w:b/>
                <w:bCs/>
                <w:sz w:val="24"/>
                <w:szCs w:val="24"/>
              </w:rPr>
              <w:t>m</w:t>
            </w:r>
            <w:r>
              <w:rPr>
                <w:rFonts w:hint="eastAsia" w:cs="仿宋"/>
                <w:b/>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9" w:type="pct"/>
            <w:vAlign w:val="center"/>
          </w:tcPr>
          <w:p>
            <w:pPr>
              <w:adjustRightInd w:val="0"/>
              <w:snapToGrid w:val="0"/>
              <w:spacing w:line="240" w:lineRule="auto"/>
              <w:ind w:firstLine="0" w:firstLineChars="0"/>
              <w:jc w:val="center"/>
              <w:rPr>
                <w:sz w:val="24"/>
                <w:szCs w:val="24"/>
              </w:rPr>
            </w:pPr>
            <w:r>
              <w:rPr>
                <w:sz w:val="24"/>
                <w:szCs w:val="24"/>
              </w:rPr>
              <w:t>200</w:t>
            </w:r>
          </w:p>
        </w:tc>
        <w:tc>
          <w:tcPr>
            <w:tcW w:w="1373" w:type="pct"/>
            <w:vAlign w:val="center"/>
          </w:tcPr>
          <w:p>
            <w:pPr>
              <w:adjustRightInd w:val="0"/>
              <w:snapToGrid w:val="0"/>
              <w:spacing w:line="240" w:lineRule="auto"/>
              <w:ind w:firstLine="0" w:firstLineChars="0"/>
              <w:jc w:val="center"/>
              <w:rPr>
                <w:sz w:val="24"/>
                <w:szCs w:val="24"/>
              </w:rPr>
            </w:pPr>
            <w:r>
              <w:rPr>
                <w:sz w:val="24"/>
                <w:szCs w:val="24"/>
              </w:rPr>
              <w:t>180</w:t>
            </w:r>
          </w:p>
        </w:tc>
        <w:tc>
          <w:tcPr>
            <w:tcW w:w="1289" w:type="pct"/>
            <w:vAlign w:val="center"/>
          </w:tcPr>
          <w:p>
            <w:pPr>
              <w:adjustRightInd w:val="0"/>
              <w:snapToGrid w:val="0"/>
              <w:spacing w:line="240" w:lineRule="auto"/>
              <w:ind w:firstLine="0" w:firstLineChars="0"/>
              <w:jc w:val="center"/>
              <w:rPr>
                <w:sz w:val="24"/>
                <w:szCs w:val="24"/>
              </w:rPr>
            </w:pPr>
            <w:r>
              <w:rPr>
                <w:sz w:val="24"/>
                <w:szCs w:val="24"/>
              </w:rPr>
              <w:t>40</w:t>
            </w:r>
          </w:p>
        </w:tc>
        <w:tc>
          <w:tcPr>
            <w:tcW w:w="959" w:type="pct"/>
            <w:vAlign w:val="center"/>
          </w:tcPr>
          <w:p>
            <w:pPr>
              <w:adjustRightInd w:val="0"/>
              <w:snapToGrid w:val="0"/>
              <w:spacing w:line="240" w:lineRule="auto"/>
              <w:ind w:firstLine="0" w:firstLineChars="0"/>
              <w:jc w:val="center"/>
              <w:rPr>
                <w:sz w:val="24"/>
                <w:szCs w:val="24"/>
              </w:rPr>
            </w:pPr>
            <w:r>
              <w:rPr>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9" w:type="pct"/>
            <w:vAlign w:val="center"/>
          </w:tcPr>
          <w:p>
            <w:pPr>
              <w:adjustRightInd w:val="0"/>
              <w:snapToGrid w:val="0"/>
              <w:spacing w:line="240" w:lineRule="auto"/>
              <w:ind w:firstLine="0" w:firstLineChars="0"/>
              <w:jc w:val="center"/>
              <w:rPr>
                <w:sz w:val="24"/>
                <w:szCs w:val="24"/>
              </w:rPr>
            </w:pPr>
            <w:r>
              <w:rPr>
                <w:sz w:val="24"/>
                <w:szCs w:val="24"/>
              </w:rPr>
              <w:t>500</w:t>
            </w:r>
          </w:p>
        </w:tc>
        <w:tc>
          <w:tcPr>
            <w:tcW w:w="1373" w:type="pct"/>
            <w:vAlign w:val="center"/>
          </w:tcPr>
          <w:p>
            <w:pPr>
              <w:adjustRightInd w:val="0"/>
              <w:snapToGrid w:val="0"/>
              <w:spacing w:line="240" w:lineRule="auto"/>
              <w:ind w:firstLine="0" w:firstLineChars="0"/>
              <w:jc w:val="center"/>
              <w:rPr>
                <w:sz w:val="24"/>
                <w:szCs w:val="24"/>
              </w:rPr>
            </w:pPr>
            <w:r>
              <w:rPr>
                <w:sz w:val="24"/>
                <w:szCs w:val="24"/>
              </w:rPr>
              <w:t>450</w:t>
            </w:r>
          </w:p>
        </w:tc>
        <w:tc>
          <w:tcPr>
            <w:tcW w:w="1289" w:type="pct"/>
            <w:vAlign w:val="center"/>
          </w:tcPr>
          <w:p>
            <w:pPr>
              <w:adjustRightInd w:val="0"/>
              <w:snapToGrid w:val="0"/>
              <w:spacing w:line="240" w:lineRule="auto"/>
              <w:ind w:firstLine="0" w:firstLineChars="0"/>
              <w:jc w:val="center"/>
              <w:rPr>
                <w:sz w:val="24"/>
                <w:szCs w:val="24"/>
              </w:rPr>
            </w:pPr>
            <w:r>
              <w:rPr>
                <w:sz w:val="24"/>
                <w:szCs w:val="24"/>
              </w:rPr>
              <w:t>100</w:t>
            </w:r>
          </w:p>
        </w:tc>
        <w:tc>
          <w:tcPr>
            <w:tcW w:w="959" w:type="pct"/>
            <w:vAlign w:val="center"/>
          </w:tcPr>
          <w:p>
            <w:pPr>
              <w:adjustRightInd w:val="0"/>
              <w:snapToGrid w:val="0"/>
              <w:spacing w:line="240" w:lineRule="auto"/>
              <w:ind w:firstLine="0" w:firstLineChars="0"/>
              <w:jc w:val="center"/>
              <w:rPr>
                <w:sz w:val="24"/>
                <w:szCs w:val="24"/>
              </w:rPr>
            </w:pPr>
            <w:r>
              <w:rPr>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9" w:type="pct"/>
            <w:vAlign w:val="center"/>
          </w:tcPr>
          <w:p>
            <w:pPr>
              <w:adjustRightInd w:val="0"/>
              <w:snapToGrid w:val="0"/>
              <w:spacing w:line="240" w:lineRule="auto"/>
              <w:ind w:firstLine="0" w:firstLineChars="0"/>
              <w:jc w:val="center"/>
              <w:rPr>
                <w:sz w:val="24"/>
                <w:szCs w:val="24"/>
              </w:rPr>
            </w:pPr>
            <w:r>
              <w:rPr>
                <w:sz w:val="24"/>
                <w:szCs w:val="24"/>
              </w:rPr>
              <w:t>1000</w:t>
            </w:r>
          </w:p>
        </w:tc>
        <w:tc>
          <w:tcPr>
            <w:tcW w:w="1373" w:type="pct"/>
            <w:vAlign w:val="center"/>
          </w:tcPr>
          <w:p>
            <w:pPr>
              <w:adjustRightInd w:val="0"/>
              <w:snapToGrid w:val="0"/>
              <w:spacing w:line="240" w:lineRule="auto"/>
              <w:ind w:firstLine="0" w:firstLineChars="0"/>
              <w:jc w:val="center"/>
              <w:rPr>
                <w:sz w:val="24"/>
                <w:szCs w:val="24"/>
              </w:rPr>
            </w:pPr>
            <w:r>
              <w:rPr>
                <w:sz w:val="24"/>
                <w:szCs w:val="24"/>
              </w:rPr>
              <w:t>900</w:t>
            </w:r>
          </w:p>
        </w:tc>
        <w:tc>
          <w:tcPr>
            <w:tcW w:w="1289" w:type="pct"/>
            <w:vAlign w:val="center"/>
          </w:tcPr>
          <w:p>
            <w:pPr>
              <w:adjustRightInd w:val="0"/>
              <w:snapToGrid w:val="0"/>
              <w:spacing w:line="240" w:lineRule="auto"/>
              <w:ind w:firstLine="0" w:firstLineChars="0"/>
              <w:jc w:val="center"/>
              <w:rPr>
                <w:sz w:val="24"/>
                <w:szCs w:val="24"/>
              </w:rPr>
            </w:pPr>
            <w:r>
              <w:rPr>
                <w:sz w:val="24"/>
                <w:szCs w:val="24"/>
              </w:rPr>
              <w:t>200</w:t>
            </w:r>
          </w:p>
        </w:tc>
        <w:tc>
          <w:tcPr>
            <w:tcW w:w="959" w:type="pct"/>
            <w:vAlign w:val="center"/>
          </w:tcPr>
          <w:p>
            <w:pPr>
              <w:adjustRightInd w:val="0"/>
              <w:snapToGrid w:val="0"/>
              <w:spacing w:line="240" w:lineRule="auto"/>
              <w:ind w:firstLine="0" w:firstLineChars="0"/>
              <w:jc w:val="center"/>
              <w:rPr>
                <w:sz w:val="24"/>
                <w:szCs w:val="24"/>
              </w:rPr>
            </w:pPr>
            <w:r>
              <w:rPr>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9" w:type="pct"/>
            <w:vAlign w:val="center"/>
          </w:tcPr>
          <w:p>
            <w:pPr>
              <w:adjustRightInd w:val="0"/>
              <w:snapToGrid w:val="0"/>
              <w:spacing w:line="240" w:lineRule="auto"/>
              <w:ind w:firstLine="0" w:firstLineChars="0"/>
              <w:jc w:val="center"/>
              <w:rPr>
                <w:sz w:val="24"/>
                <w:szCs w:val="24"/>
              </w:rPr>
            </w:pPr>
            <w:r>
              <w:rPr>
                <w:sz w:val="24"/>
                <w:szCs w:val="24"/>
              </w:rPr>
              <w:t>2000</w:t>
            </w:r>
          </w:p>
        </w:tc>
        <w:tc>
          <w:tcPr>
            <w:tcW w:w="1373" w:type="pct"/>
            <w:vAlign w:val="center"/>
          </w:tcPr>
          <w:p>
            <w:pPr>
              <w:adjustRightInd w:val="0"/>
              <w:snapToGrid w:val="0"/>
              <w:spacing w:line="240" w:lineRule="auto"/>
              <w:ind w:firstLine="0" w:firstLineChars="0"/>
              <w:jc w:val="center"/>
              <w:rPr>
                <w:sz w:val="24"/>
                <w:szCs w:val="24"/>
              </w:rPr>
            </w:pPr>
            <w:r>
              <w:rPr>
                <w:sz w:val="24"/>
                <w:szCs w:val="24"/>
              </w:rPr>
              <w:t>1800</w:t>
            </w:r>
          </w:p>
        </w:tc>
        <w:tc>
          <w:tcPr>
            <w:tcW w:w="1289" w:type="pct"/>
            <w:vAlign w:val="center"/>
          </w:tcPr>
          <w:p>
            <w:pPr>
              <w:adjustRightInd w:val="0"/>
              <w:snapToGrid w:val="0"/>
              <w:spacing w:line="240" w:lineRule="auto"/>
              <w:ind w:firstLine="0" w:firstLineChars="0"/>
              <w:jc w:val="center"/>
              <w:rPr>
                <w:sz w:val="24"/>
                <w:szCs w:val="24"/>
              </w:rPr>
            </w:pPr>
            <w:r>
              <w:rPr>
                <w:sz w:val="24"/>
                <w:szCs w:val="24"/>
              </w:rPr>
              <w:t>400</w:t>
            </w:r>
          </w:p>
        </w:tc>
        <w:tc>
          <w:tcPr>
            <w:tcW w:w="959" w:type="pct"/>
            <w:vAlign w:val="center"/>
          </w:tcPr>
          <w:p>
            <w:pPr>
              <w:adjustRightInd w:val="0"/>
              <w:snapToGrid w:val="0"/>
              <w:spacing w:line="240" w:lineRule="auto"/>
              <w:ind w:firstLine="0" w:firstLineChars="0"/>
              <w:jc w:val="center"/>
              <w:rPr>
                <w:sz w:val="24"/>
                <w:szCs w:val="24"/>
              </w:rPr>
            </w:pPr>
            <w:r>
              <w:rPr>
                <w:sz w:val="24"/>
                <w:szCs w:val="24"/>
              </w:rPr>
              <w:t>4.5</w:t>
            </w:r>
          </w:p>
        </w:tc>
      </w:tr>
    </w:tbl>
    <w:p>
      <w:pPr>
        <w:spacing w:beforeLines="50"/>
        <w:ind w:firstLine="31680"/>
        <w:rPr>
          <w:sz w:val="24"/>
          <w:szCs w:val="24"/>
        </w:rPr>
      </w:pPr>
      <w:r>
        <w:rPr>
          <w:rFonts w:hint="eastAsia" w:cs="仿宋"/>
          <w:sz w:val="24"/>
          <w:szCs w:val="24"/>
        </w:rPr>
        <w:t>注：</w:t>
      </w:r>
      <w:r>
        <w:rPr>
          <w:sz w:val="24"/>
          <w:szCs w:val="24"/>
        </w:rPr>
        <w:t>1</w:t>
      </w:r>
      <w:r>
        <w:rPr>
          <w:rFonts w:hint="eastAsia" w:cs="仿宋"/>
          <w:sz w:val="24"/>
          <w:szCs w:val="24"/>
        </w:rPr>
        <w:t>根据肉鸡养殖特点，场所一般半年进行一次冲洗，根据冲洗面积计算所需贮水池面积；一般每平方米养殖面积需水立方米。</w:t>
      </w:r>
    </w:p>
    <w:p>
      <w:pPr>
        <w:ind w:firstLine="31680"/>
        <w:rPr>
          <w:sz w:val="24"/>
          <w:szCs w:val="24"/>
        </w:rPr>
      </w:pPr>
      <w:r>
        <w:rPr>
          <w:sz w:val="24"/>
          <w:szCs w:val="24"/>
        </w:rPr>
        <w:t>2</w:t>
      </w:r>
      <w:r>
        <w:rPr>
          <w:rFonts w:hint="eastAsia" w:cs="仿宋"/>
          <w:sz w:val="24"/>
          <w:szCs w:val="24"/>
        </w:rPr>
        <w:t>污水贮存池体积（立方米）</w:t>
      </w:r>
      <w:r>
        <w:rPr>
          <w:sz w:val="24"/>
          <w:szCs w:val="24"/>
        </w:rPr>
        <w:t>=</w:t>
      </w:r>
      <w:r>
        <w:rPr>
          <w:rFonts w:hint="eastAsia" w:cs="仿宋"/>
          <w:sz w:val="24"/>
          <w:szCs w:val="24"/>
        </w:rPr>
        <w:t>设计最大存栏量（头、只）</w:t>
      </w:r>
      <w:r>
        <w:rPr>
          <w:sz w:val="24"/>
          <w:szCs w:val="24"/>
        </w:rPr>
        <w:t>×</w:t>
      </w:r>
      <w:r>
        <w:rPr>
          <w:rFonts w:hint="eastAsia" w:cs="仿宋"/>
          <w:sz w:val="24"/>
          <w:szCs w:val="24"/>
        </w:rPr>
        <w:t>每头每天产污水量（千克</w:t>
      </w:r>
      <w:r>
        <w:rPr>
          <w:sz w:val="24"/>
          <w:szCs w:val="24"/>
        </w:rPr>
        <w:t>/</w:t>
      </w:r>
      <w:r>
        <w:rPr>
          <w:rFonts w:hint="eastAsia" w:cs="仿宋"/>
          <w:sz w:val="24"/>
          <w:szCs w:val="24"/>
        </w:rPr>
        <w:t>头</w:t>
      </w:r>
      <w:r>
        <w:rPr>
          <w:sz w:val="24"/>
          <w:szCs w:val="24"/>
        </w:rPr>
        <w:t>•</w:t>
      </w:r>
      <w:r>
        <w:rPr>
          <w:rFonts w:hint="eastAsia" w:cs="仿宋"/>
          <w:sz w:val="24"/>
          <w:szCs w:val="24"/>
        </w:rPr>
        <w:t>天）</w:t>
      </w:r>
      <w:r>
        <w:rPr>
          <w:sz w:val="24"/>
          <w:szCs w:val="24"/>
        </w:rPr>
        <w:t>×180</w:t>
      </w:r>
      <w:r>
        <w:rPr>
          <w:rFonts w:hint="eastAsia" w:cs="仿宋"/>
          <w:sz w:val="24"/>
          <w:szCs w:val="24"/>
        </w:rPr>
        <w:t>（天）</w:t>
      </w:r>
      <w:r>
        <w:rPr>
          <w:sz w:val="24"/>
          <w:szCs w:val="24"/>
        </w:rPr>
        <w:t>÷</w:t>
      </w:r>
      <w:r>
        <w:rPr>
          <w:rFonts w:hint="eastAsia" w:cs="仿宋"/>
          <w:sz w:val="24"/>
          <w:szCs w:val="24"/>
        </w:rPr>
        <w:t>单位容量</w:t>
      </w:r>
      <w:r>
        <w:rPr>
          <w:sz w:val="24"/>
          <w:szCs w:val="24"/>
        </w:rPr>
        <w:t>1000</w:t>
      </w:r>
      <w:r>
        <w:rPr>
          <w:rFonts w:hint="eastAsia" w:cs="仿宋"/>
          <w:sz w:val="24"/>
          <w:szCs w:val="24"/>
        </w:rPr>
        <w:t>（千克</w:t>
      </w:r>
      <w:r>
        <w:rPr>
          <w:sz w:val="24"/>
          <w:szCs w:val="24"/>
        </w:rPr>
        <w:t>/</w:t>
      </w:r>
      <w:r>
        <w:rPr>
          <w:rFonts w:hint="eastAsia" w:cs="仿宋"/>
          <w:sz w:val="24"/>
          <w:szCs w:val="24"/>
        </w:rPr>
        <w:t>立方米）</w:t>
      </w:r>
    </w:p>
    <w:p>
      <w:pPr>
        <w:pStyle w:val="44"/>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仿宋"/>
          <w:sz w:val="28"/>
          <w:szCs w:val="28"/>
        </w:rPr>
        <w:t>当养殖单位受环境、土地和经济情况等条件的限制无法建设钢筋混凝结构的污水贮存池，且养殖单位周围有直接可利用的坑塘时，亦可以采用防渗膜式污水贮存池。</w:t>
      </w:r>
    </w:p>
    <w:p>
      <w:pPr>
        <w:spacing w:after="120"/>
        <w:ind w:firstLine="0" w:firstLineChars="0"/>
        <w:jc w:val="center"/>
        <w:rPr>
          <w:b/>
          <w:bCs/>
        </w:rPr>
      </w:pPr>
      <w:r>
        <w:pict>
          <v:shape id="_x0000_i1032" o:spt="75" type="#_x0000_t75" style="height:104.25pt;width:411pt;" filled="f" o:preferrelative="t" stroked="f" coordsize="21600,21600">
            <v:path/>
            <v:fill on="f" focussize="0,0"/>
            <v:stroke on="f" joinstyle="miter"/>
            <v:imagedata r:id="rId19" cropleft="10878f" croptop="26772f" cropright="34506f" cropbottom="27171f" o:title=""/>
            <o:lock v:ext="edit" aspectratio="t"/>
            <w10:wrap type="none"/>
            <w10:anchorlock/>
          </v:shape>
        </w:pict>
      </w:r>
    </w:p>
    <w:p>
      <w:pPr>
        <w:pStyle w:val="5"/>
        <w:spacing w:before="190"/>
      </w:pPr>
      <w:r>
        <w:rPr>
          <w:rFonts w:hint="eastAsia" w:cs="仿宋"/>
        </w:rPr>
        <w:t>图</w:t>
      </w:r>
      <w:r>
        <w:t xml:space="preserve">3 </w:t>
      </w:r>
      <w:r>
        <w:rPr>
          <w:rFonts w:hint="eastAsia" w:cs="仿宋"/>
        </w:rPr>
        <w:t>防渗膜式污水贮存池剖面图</w:t>
      </w:r>
    </w:p>
    <w:p>
      <w:pPr>
        <w:ind w:firstLine="31680"/>
        <w:rPr>
          <w:b/>
          <w:bCs/>
        </w:rPr>
      </w:pPr>
      <w:r>
        <w:rPr>
          <w:rFonts w:hint="eastAsia" w:cs="仿宋"/>
          <w:b/>
          <w:bCs/>
        </w:rPr>
        <w:t>建设要求：</w:t>
      </w:r>
    </w:p>
    <w:p>
      <w:pPr>
        <w:pStyle w:val="43"/>
        <w:numPr>
          <w:ilvl w:val="0"/>
          <w:numId w:val="3"/>
        </w:numPr>
        <w:ind w:firstLineChars="0"/>
        <w:rPr>
          <w:rFonts w:ascii="Times New Roman" w:hAnsi="Times New Roman" w:eastAsia="仿宋" w:cs="Times New Roman"/>
          <w:sz w:val="28"/>
          <w:szCs w:val="28"/>
        </w:rPr>
      </w:pPr>
      <w:r>
        <w:rPr>
          <w:rFonts w:hint="eastAsia" w:ascii="Times New Roman" w:hAnsi="Times New Roman" w:eastAsia="仿宋" w:cs="仿宋"/>
          <w:sz w:val="28"/>
          <w:szCs w:val="28"/>
        </w:rPr>
        <w:t>复合土工膜采用</w:t>
      </w:r>
      <w:r>
        <w:rPr>
          <w:rFonts w:ascii="Times New Roman" w:hAnsi="Times New Roman" w:eastAsia="仿宋" w:cs="Times New Roman"/>
          <w:sz w:val="28"/>
          <w:szCs w:val="28"/>
        </w:rPr>
        <w:t>FN2/HDPE-14-800-0.8</w:t>
      </w:r>
      <w:r>
        <w:rPr>
          <w:rFonts w:hint="eastAsia" w:ascii="Times New Roman" w:hAnsi="Times New Roman" w:eastAsia="仿宋" w:cs="仿宋"/>
          <w:sz w:val="28"/>
          <w:szCs w:val="28"/>
        </w:rPr>
        <w:t>；</w:t>
      </w:r>
    </w:p>
    <w:p>
      <w:pPr>
        <w:pStyle w:val="43"/>
        <w:numPr>
          <w:ilvl w:val="0"/>
          <w:numId w:val="3"/>
        </w:numPr>
        <w:ind w:firstLineChars="0"/>
        <w:rPr>
          <w:rFonts w:ascii="Times New Roman" w:hAnsi="Times New Roman" w:eastAsia="仿宋" w:cs="Times New Roman"/>
          <w:sz w:val="28"/>
          <w:szCs w:val="28"/>
        </w:rPr>
      </w:pPr>
      <w:r>
        <w:rPr>
          <w:rFonts w:hint="eastAsia" w:ascii="Times New Roman" w:hAnsi="Times New Roman" w:eastAsia="仿宋" w:cs="仿宋"/>
          <w:sz w:val="28"/>
          <w:szCs w:val="28"/>
        </w:rPr>
        <w:t>铺设防渗膜前，应将地面平整，去掉石子等尖锐物质，防止防渗膜渗漏，底层土进行夯实，压实系数不得小于</w:t>
      </w:r>
      <w:r>
        <w:rPr>
          <w:rFonts w:ascii="Times New Roman" w:hAnsi="Times New Roman" w:eastAsia="仿宋" w:cs="Times New Roman"/>
          <w:sz w:val="28"/>
          <w:szCs w:val="28"/>
        </w:rPr>
        <w:t>0.94</w:t>
      </w:r>
      <w:r>
        <w:rPr>
          <w:rFonts w:hint="eastAsia" w:ascii="Times New Roman" w:hAnsi="Times New Roman" w:eastAsia="仿宋" w:cs="仿宋"/>
          <w:sz w:val="28"/>
          <w:szCs w:val="28"/>
        </w:rPr>
        <w:t>；</w:t>
      </w:r>
    </w:p>
    <w:p>
      <w:pPr>
        <w:pStyle w:val="43"/>
        <w:numPr>
          <w:ilvl w:val="0"/>
          <w:numId w:val="3"/>
        </w:numPr>
        <w:ind w:firstLineChars="0"/>
        <w:rPr>
          <w:rFonts w:ascii="Times New Roman" w:hAnsi="Times New Roman" w:eastAsia="仿宋" w:cs="Times New Roman"/>
          <w:sz w:val="28"/>
          <w:szCs w:val="28"/>
        </w:rPr>
      </w:pPr>
      <w:r>
        <w:rPr>
          <w:rFonts w:hint="eastAsia" w:ascii="Times New Roman" w:hAnsi="Times New Roman" w:eastAsia="仿宋" w:cs="仿宋"/>
          <w:sz w:val="28"/>
          <w:szCs w:val="28"/>
        </w:rPr>
        <w:t>污水进水、排水方式均用吸污车；</w:t>
      </w:r>
    </w:p>
    <w:p>
      <w:pPr>
        <w:pStyle w:val="43"/>
        <w:numPr>
          <w:ilvl w:val="0"/>
          <w:numId w:val="3"/>
        </w:numPr>
        <w:ind w:firstLineChars="0"/>
        <w:rPr>
          <w:rFonts w:ascii="Times New Roman" w:hAnsi="Times New Roman" w:eastAsia="仿宋" w:cs="Times New Roman"/>
          <w:sz w:val="28"/>
          <w:szCs w:val="28"/>
        </w:rPr>
      </w:pPr>
      <w:r>
        <w:rPr>
          <w:rFonts w:hint="eastAsia" w:ascii="Times New Roman" w:hAnsi="Times New Roman" w:eastAsia="仿宋" w:cs="仿宋"/>
          <w:sz w:val="28"/>
          <w:szCs w:val="28"/>
        </w:rPr>
        <w:t>污水贮存池四周设立铁丝网防护围栏，并设立警示牌，严防人及畜禽跌落池中。</w:t>
      </w:r>
    </w:p>
    <w:p>
      <w:pPr>
        <w:ind w:firstLine="31680"/>
        <w:rPr>
          <w:b/>
          <w:bCs/>
        </w:rPr>
      </w:pPr>
      <w:r>
        <w:rPr>
          <w:rFonts w:hint="eastAsia" w:cs="仿宋"/>
          <w:b/>
          <w:bCs/>
        </w:rPr>
        <w:t>（</w:t>
      </w:r>
      <w:r>
        <w:rPr>
          <w:b/>
          <w:bCs/>
        </w:rPr>
        <w:t>3</w:t>
      </w:r>
      <w:r>
        <w:rPr>
          <w:rFonts w:hint="eastAsia" w:cs="仿宋"/>
          <w:b/>
          <w:bCs/>
        </w:rPr>
        <w:t>）投资及运行成本</w:t>
      </w:r>
    </w:p>
    <w:p>
      <w:pPr>
        <w:pStyle w:val="5"/>
        <w:spacing w:before="190"/>
      </w:pPr>
      <w:r>
        <w:rPr>
          <w:rFonts w:hint="eastAsia" w:cs="仿宋"/>
        </w:rPr>
        <w:t>表</w:t>
      </w:r>
      <w:r>
        <w:t xml:space="preserve">3 </w:t>
      </w:r>
      <w:r>
        <w:rPr>
          <w:rFonts w:hint="eastAsia" w:cs="仿宋"/>
        </w:rPr>
        <w:t>堆肥</w:t>
      </w:r>
      <w:r>
        <w:t>—</w:t>
      </w:r>
      <w:r>
        <w:rPr>
          <w:rFonts w:hint="eastAsia" w:cs="仿宋"/>
        </w:rPr>
        <w:t>还田工艺投资、运行费参考</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2"/>
        <w:gridCol w:w="2351"/>
        <w:gridCol w:w="2263"/>
        <w:gridCol w:w="2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vMerge w:val="restart"/>
            <w:noWrap/>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养殖规模（头）</w:t>
            </w:r>
          </w:p>
          <w:p>
            <w:pPr>
              <w:adjustRightInd w:val="0"/>
              <w:snapToGrid w:val="0"/>
              <w:spacing w:line="240" w:lineRule="auto"/>
              <w:ind w:firstLine="0" w:firstLineChars="0"/>
              <w:jc w:val="center"/>
              <w:rPr>
                <w:b/>
                <w:bCs/>
                <w:sz w:val="24"/>
                <w:szCs w:val="24"/>
              </w:rPr>
            </w:pPr>
            <w:r>
              <w:rPr>
                <w:rFonts w:hint="eastAsia" w:cs="仿宋"/>
                <w:b/>
                <w:bCs/>
                <w:sz w:val="24"/>
                <w:szCs w:val="24"/>
              </w:rPr>
              <w:t>（以猪计）</w:t>
            </w:r>
          </w:p>
        </w:tc>
        <w:tc>
          <w:tcPr>
            <w:tcW w:w="2316" w:type="pct"/>
            <w:gridSpan w:val="2"/>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造价（万元）</w:t>
            </w:r>
          </w:p>
        </w:tc>
        <w:tc>
          <w:tcPr>
            <w:tcW w:w="1353" w:type="pct"/>
            <w:vMerge w:val="restart"/>
            <w:noWrap/>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年运行费</w:t>
            </w:r>
          </w:p>
          <w:p>
            <w:pPr>
              <w:adjustRightInd w:val="0"/>
              <w:snapToGrid w:val="0"/>
              <w:spacing w:line="240" w:lineRule="auto"/>
              <w:ind w:firstLine="0" w:firstLineChars="0"/>
              <w:jc w:val="center"/>
              <w:rPr>
                <w:b/>
                <w:bCs/>
                <w:sz w:val="24"/>
                <w:szCs w:val="24"/>
              </w:rPr>
            </w:pPr>
            <w:r>
              <w:rPr>
                <w:rFonts w:hint="eastAsia" w:cs="仿宋"/>
                <w:b/>
                <w:bCs/>
                <w:sz w:val="24"/>
                <w:szCs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vMerge w:val="continue"/>
            <w:noWrap/>
            <w:vAlign w:val="center"/>
          </w:tcPr>
          <w:p>
            <w:pPr>
              <w:adjustRightInd w:val="0"/>
              <w:snapToGrid w:val="0"/>
              <w:spacing w:line="240" w:lineRule="auto"/>
              <w:ind w:firstLine="0" w:firstLineChars="0"/>
              <w:jc w:val="center"/>
              <w:rPr>
                <w:b/>
                <w:bCs/>
                <w:sz w:val="24"/>
                <w:szCs w:val="24"/>
              </w:rPr>
            </w:pPr>
          </w:p>
        </w:tc>
        <w:tc>
          <w:tcPr>
            <w:tcW w:w="1180"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粪便贮存池</w:t>
            </w:r>
          </w:p>
        </w:tc>
        <w:tc>
          <w:tcPr>
            <w:tcW w:w="1136" w:type="pct"/>
            <w:vAlign w:val="center"/>
          </w:tcPr>
          <w:p>
            <w:pPr>
              <w:adjustRightInd w:val="0"/>
              <w:snapToGrid w:val="0"/>
              <w:spacing w:line="240" w:lineRule="auto"/>
              <w:ind w:firstLine="0" w:firstLineChars="0"/>
              <w:jc w:val="center"/>
              <w:rPr>
                <w:b/>
                <w:bCs/>
                <w:sz w:val="24"/>
                <w:szCs w:val="24"/>
              </w:rPr>
            </w:pPr>
            <w:r>
              <w:rPr>
                <w:rFonts w:hint="eastAsia" w:cs="仿宋"/>
                <w:b/>
                <w:bCs/>
                <w:sz w:val="24"/>
                <w:szCs w:val="24"/>
              </w:rPr>
              <w:t>污水贮存池</w:t>
            </w:r>
          </w:p>
        </w:tc>
        <w:tc>
          <w:tcPr>
            <w:tcW w:w="1353" w:type="pct"/>
            <w:vMerge w:val="continue"/>
            <w:noWrap/>
            <w:vAlign w:val="center"/>
          </w:tcPr>
          <w:p>
            <w:pPr>
              <w:adjustRightInd w:val="0"/>
              <w:snapToGrid w:val="0"/>
              <w:spacing w:line="240" w:lineRule="auto"/>
              <w:ind w:firstLine="0" w:firstLineChars="0"/>
              <w:jc w:val="center"/>
              <w:rPr>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noWrap/>
            <w:vAlign w:val="center"/>
          </w:tcPr>
          <w:p>
            <w:pPr>
              <w:adjustRightInd w:val="0"/>
              <w:snapToGrid w:val="0"/>
              <w:spacing w:line="240" w:lineRule="auto"/>
              <w:ind w:firstLine="0" w:firstLineChars="0"/>
              <w:jc w:val="center"/>
              <w:rPr>
                <w:sz w:val="24"/>
                <w:szCs w:val="24"/>
              </w:rPr>
            </w:pPr>
            <w:r>
              <w:rPr>
                <w:sz w:val="24"/>
                <w:szCs w:val="24"/>
              </w:rPr>
              <w:t>200</w:t>
            </w:r>
          </w:p>
        </w:tc>
        <w:tc>
          <w:tcPr>
            <w:tcW w:w="1180" w:type="pct"/>
            <w:vAlign w:val="center"/>
          </w:tcPr>
          <w:p>
            <w:pPr>
              <w:adjustRightInd w:val="0"/>
              <w:snapToGrid w:val="0"/>
              <w:spacing w:line="240" w:lineRule="auto"/>
              <w:ind w:firstLine="0" w:firstLineChars="0"/>
              <w:jc w:val="center"/>
              <w:rPr>
                <w:sz w:val="24"/>
                <w:szCs w:val="24"/>
              </w:rPr>
            </w:pPr>
            <w:r>
              <w:rPr>
                <w:sz w:val="24"/>
                <w:szCs w:val="24"/>
              </w:rPr>
              <w:t>11.5</w:t>
            </w:r>
          </w:p>
        </w:tc>
        <w:tc>
          <w:tcPr>
            <w:tcW w:w="1136" w:type="pct"/>
            <w:vAlign w:val="center"/>
          </w:tcPr>
          <w:p>
            <w:pPr>
              <w:adjustRightInd w:val="0"/>
              <w:snapToGrid w:val="0"/>
              <w:spacing w:line="240" w:lineRule="auto"/>
              <w:ind w:firstLine="0" w:firstLineChars="0"/>
              <w:jc w:val="center"/>
              <w:rPr>
                <w:sz w:val="24"/>
                <w:szCs w:val="24"/>
              </w:rPr>
            </w:pPr>
            <w:r>
              <w:rPr>
                <w:sz w:val="24"/>
                <w:szCs w:val="24"/>
              </w:rPr>
              <w:t>3.7</w:t>
            </w:r>
          </w:p>
        </w:tc>
        <w:tc>
          <w:tcPr>
            <w:tcW w:w="1353" w:type="pct"/>
            <w:noWrap/>
            <w:vAlign w:val="center"/>
          </w:tcPr>
          <w:p>
            <w:pPr>
              <w:adjustRightInd w:val="0"/>
              <w:snapToGrid w:val="0"/>
              <w:spacing w:line="240" w:lineRule="auto"/>
              <w:ind w:firstLine="0" w:firstLineChars="0"/>
              <w:jc w:val="center"/>
              <w:rPr>
                <w:sz w:val="24"/>
                <w:szCs w:val="24"/>
              </w:rPr>
            </w:pPr>
            <w:r>
              <w:rPr>
                <w:sz w:val="24"/>
                <w:szCs w:val="24"/>
              </w:rPr>
              <w:t>300-1000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noWrap/>
            <w:vAlign w:val="center"/>
          </w:tcPr>
          <w:p>
            <w:pPr>
              <w:adjustRightInd w:val="0"/>
              <w:snapToGrid w:val="0"/>
              <w:spacing w:line="240" w:lineRule="auto"/>
              <w:ind w:firstLine="0" w:firstLineChars="0"/>
              <w:jc w:val="center"/>
              <w:rPr>
                <w:sz w:val="24"/>
                <w:szCs w:val="24"/>
              </w:rPr>
            </w:pPr>
            <w:r>
              <w:rPr>
                <w:sz w:val="24"/>
                <w:szCs w:val="24"/>
              </w:rPr>
              <w:t>500</w:t>
            </w:r>
          </w:p>
        </w:tc>
        <w:tc>
          <w:tcPr>
            <w:tcW w:w="1180" w:type="pct"/>
            <w:vAlign w:val="center"/>
          </w:tcPr>
          <w:p>
            <w:pPr>
              <w:adjustRightInd w:val="0"/>
              <w:snapToGrid w:val="0"/>
              <w:spacing w:line="240" w:lineRule="auto"/>
              <w:ind w:firstLine="0" w:firstLineChars="0"/>
              <w:jc w:val="center"/>
              <w:rPr>
                <w:sz w:val="24"/>
                <w:szCs w:val="24"/>
              </w:rPr>
            </w:pPr>
            <w:r>
              <w:rPr>
                <w:sz w:val="24"/>
                <w:szCs w:val="24"/>
              </w:rPr>
              <w:t>21.3</w:t>
            </w:r>
          </w:p>
        </w:tc>
        <w:tc>
          <w:tcPr>
            <w:tcW w:w="1136" w:type="pct"/>
            <w:vAlign w:val="center"/>
          </w:tcPr>
          <w:p>
            <w:pPr>
              <w:adjustRightInd w:val="0"/>
              <w:snapToGrid w:val="0"/>
              <w:spacing w:line="240" w:lineRule="auto"/>
              <w:ind w:firstLine="0" w:firstLineChars="0"/>
              <w:jc w:val="center"/>
              <w:rPr>
                <w:sz w:val="24"/>
                <w:szCs w:val="24"/>
              </w:rPr>
            </w:pPr>
            <w:r>
              <w:rPr>
                <w:sz w:val="24"/>
                <w:szCs w:val="24"/>
              </w:rPr>
              <w:t>9.3</w:t>
            </w:r>
          </w:p>
        </w:tc>
        <w:tc>
          <w:tcPr>
            <w:tcW w:w="1353" w:type="pct"/>
            <w:noWrap/>
            <w:vAlign w:val="center"/>
          </w:tcPr>
          <w:p>
            <w:pPr>
              <w:adjustRightInd w:val="0"/>
              <w:snapToGrid w:val="0"/>
              <w:spacing w:line="240" w:lineRule="auto"/>
              <w:ind w:firstLine="0" w:firstLineChars="0"/>
              <w:jc w:val="center"/>
              <w:rPr>
                <w:sz w:val="24"/>
                <w:szCs w:val="24"/>
              </w:rPr>
            </w:pPr>
            <w:r>
              <w:rPr>
                <w:sz w:val="24"/>
                <w:szCs w:val="24"/>
              </w:rPr>
              <w:t>700-2500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noWrap/>
            <w:vAlign w:val="center"/>
          </w:tcPr>
          <w:p>
            <w:pPr>
              <w:adjustRightInd w:val="0"/>
              <w:snapToGrid w:val="0"/>
              <w:spacing w:line="240" w:lineRule="auto"/>
              <w:ind w:firstLine="0" w:firstLineChars="0"/>
              <w:jc w:val="center"/>
              <w:rPr>
                <w:sz w:val="24"/>
                <w:szCs w:val="24"/>
              </w:rPr>
            </w:pPr>
            <w:r>
              <w:rPr>
                <w:sz w:val="24"/>
                <w:szCs w:val="24"/>
              </w:rPr>
              <w:t>1000</w:t>
            </w:r>
          </w:p>
        </w:tc>
        <w:tc>
          <w:tcPr>
            <w:tcW w:w="1180" w:type="pct"/>
            <w:vAlign w:val="center"/>
          </w:tcPr>
          <w:p>
            <w:pPr>
              <w:adjustRightInd w:val="0"/>
              <w:snapToGrid w:val="0"/>
              <w:spacing w:line="240" w:lineRule="auto"/>
              <w:ind w:firstLine="0" w:firstLineChars="0"/>
              <w:jc w:val="center"/>
              <w:rPr>
                <w:sz w:val="24"/>
                <w:szCs w:val="24"/>
              </w:rPr>
            </w:pPr>
            <w:r>
              <w:rPr>
                <w:sz w:val="24"/>
                <w:szCs w:val="24"/>
              </w:rPr>
              <w:t>37.5</w:t>
            </w:r>
          </w:p>
        </w:tc>
        <w:tc>
          <w:tcPr>
            <w:tcW w:w="1136" w:type="pct"/>
            <w:vAlign w:val="center"/>
          </w:tcPr>
          <w:p>
            <w:pPr>
              <w:adjustRightInd w:val="0"/>
              <w:snapToGrid w:val="0"/>
              <w:spacing w:line="240" w:lineRule="auto"/>
              <w:ind w:firstLine="0" w:firstLineChars="0"/>
              <w:jc w:val="center"/>
              <w:rPr>
                <w:sz w:val="24"/>
                <w:szCs w:val="24"/>
              </w:rPr>
            </w:pPr>
            <w:r>
              <w:rPr>
                <w:sz w:val="24"/>
                <w:szCs w:val="24"/>
              </w:rPr>
              <w:t>18.7</w:t>
            </w:r>
          </w:p>
        </w:tc>
        <w:tc>
          <w:tcPr>
            <w:tcW w:w="1353" w:type="pct"/>
            <w:noWrap/>
            <w:vAlign w:val="center"/>
          </w:tcPr>
          <w:p>
            <w:pPr>
              <w:adjustRightInd w:val="0"/>
              <w:snapToGrid w:val="0"/>
              <w:spacing w:line="240" w:lineRule="auto"/>
              <w:ind w:firstLine="0" w:firstLineChars="0"/>
              <w:jc w:val="center"/>
              <w:rPr>
                <w:sz w:val="24"/>
                <w:szCs w:val="24"/>
              </w:rPr>
            </w:pPr>
            <w:r>
              <w:rPr>
                <w:sz w:val="24"/>
                <w:szCs w:val="24"/>
              </w:rPr>
              <w:t>1500-5000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1" w:type="pct"/>
            <w:noWrap/>
            <w:vAlign w:val="center"/>
          </w:tcPr>
          <w:p>
            <w:pPr>
              <w:adjustRightInd w:val="0"/>
              <w:snapToGrid w:val="0"/>
              <w:spacing w:line="240" w:lineRule="auto"/>
              <w:ind w:firstLine="0" w:firstLineChars="0"/>
              <w:jc w:val="center"/>
              <w:rPr>
                <w:sz w:val="24"/>
                <w:szCs w:val="24"/>
              </w:rPr>
            </w:pPr>
            <w:r>
              <w:rPr>
                <w:sz w:val="24"/>
                <w:szCs w:val="24"/>
              </w:rPr>
              <w:t>2000</w:t>
            </w:r>
          </w:p>
        </w:tc>
        <w:tc>
          <w:tcPr>
            <w:tcW w:w="1180" w:type="pct"/>
            <w:vAlign w:val="center"/>
          </w:tcPr>
          <w:p>
            <w:pPr>
              <w:adjustRightInd w:val="0"/>
              <w:snapToGrid w:val="0"/>
              <w:spacing w:line="240" w:lineRule="auto"/>
              <w:ind w:firstLine="0" w:firstLineChars="0"/>
              <w:jc w:val="center"/>
              <w:rPr>
                <w:sz w:val="24"/>
                <w:szCs w:val="24"/>
              </w:rPr>
            </w:pPr>
            <w:r>
              <w:rPr>
                <w:sz w:val="24"/>
                <w:szCs w:val="24"/>
              </w:rPr>
              <w:t>69.9</w:t>
            </w:r>
          </w:p>
        </w:tc>
        <w:tc>
          <w:tcPr>
            <w:tcW w:w="1136" w:type="pct"/>
            <w:vAlign w:val="center"/>
          </w:tcPr>
          <w:p>
            <w:pPr>
              <w:adjustRightInd w:val="0"/>
              <w:snapToGrid w:val="0"/>
              <w:spacing w:line="240" w:lineRule="auto"/>
              <w:ind w:firstLine="0" w:firstLineChars="0"/>
              <w:jc w:val="center"/>
              <w:rPr>
                <w:sz w:val="24"/>
                <w:szCs w:val="24"/>
              </w:rPr>
            </w:pPr>
            <w:r>
              <w:rPr>
                <w:sz w:val="24"/>
                <w:szCs w:val="24"/>
              </w:rPr>
              <w:t>37.3</w:t>
            </w:r>
          </w:p>
        </w:tc>
        <w:tc>
          <w:tcPr>
            <w:tcW w:w="1353" w:type="pct"/>
            <w:noWrap/>
            <w:vAlign w:val="center"/>
          </w:tcPr>
          <w:p>
            <w:pPr>
              <w:adjustRightInd w:val="0"/>
              <w:snapToGrid w:val="0"/>
              <w:spacing w:line="240" w:lineRule="auto"/>
              <w:ind w:firstLine="0" w:firstLineChars="0"/>
              <w:jc w:val="center"/>
              <w:rPr>
                <w:sz w:val="24"/>
                <w:szCs w:val="24"/>
              </w:rPr>
            </w:pPr>
            <w:r>
              <w:rPr>
                <w:sz w:val="24"/>
                <w:szCs w:val="24"/>
              </w:rPr>
              <w:t>3000-10000</w:t>
            </w:r>
          </w:p>
        </w:tc>
      </w:tr>
    </w:tbl>
    <w:p>
      <w:pPr>
        <w:widowControl/>
        <w:spacing w:line="240" w:lineRule="auto"/>
        <w:ind w:firstLine="0" w:firstLineChars="0"/>
        <w:jc w:val="left"/>
        <w:rPr>
          <w:b/>
          <w:bCs/>
          <w:sz w:val="30"/>
          <w:szCs w:val="30"/>
        </w:rPr>
      </w:pPr>
    </w:p>
    <w:p>
      <w:pPr>
        <w:widowControl/>
        <w:spacing w:line="240" w:lineRule="auto"/>
        <w:ind w:firstLine="0" w:firstLineChars="0"/>
        <w:jc w:val="left"/>
        <w:rPr>
          <w:b/>
          <w:bCs/>
          <w:sz w:val="30"/>
          <w:szCs w:val="30"/>
        </w:rPr>
      </w:pPr>
      <w:r>
        <w:rPr>
          <w:b/>
          <w:bCs/>
          <w:sz w:val="30"/>
          <w:szCs w:val="30"/>
        </w:rPr>
        <w:br w:type="page"/>
      </w:r>
    </w:p>
    <w:p>
      <w:pPr>
        <w:pStyle w:val="3"/>
      </w:pPr>
      <w:bookmarkStart w:id="106" w:name="_Toc82435212"/>
      <w:bookmarkStart w:id="107" w:name="_Toc90558559"/>
      <w:bookmarkStart w:id="108" w:name="_Toc82435210"/>
      <w:r>
        <w:rPr>
          <w:rFonts w:hint="eastAsia" w:cs="仿宋"/>
        </w:rPr>
        <w:t>附图</w:t>
      </w:r>
      <w:r>
        <w:t xml:space="preserve">1 </w:t>
      </w:r>
      <w:r>
        <w:rPr>
          <w:rFonts w:hint="eastAsia" w:cs="仿宋"/>
        </w:rPr>
        <w:t>沈阳市行政区划图</w:t>
      </w:r>
      <w:bookmarkEnd w:id="106"/>
      <w:bookmarkEnd w:id="107"/>
    </w:p>
    <w:p>
      <w:pPr>
        <w:adjustRightInd w:val="0"/>
        <w:snapToGrid w:val="0"/>
        <w:ind w:firstLine="0" w:firstLineChars="0"/>
      </w:pPr>
      <w:r>
        <w:pict>
          <v:shape id="_x0000_i1033" o:spt="75" type="#_x0000_t75" style="height:584.25pt;width:496.5pt;" filled="f" o:preferrelative="t" stroked="f" coordsize="21600,21600">
            <v:path/>
            <v:fill on="f" focussize="0,0"/>
            <v:stroke on="f" joinstyle="miter"/>
            <v:imagedata r:id="rId20" cropleft="1232f" croptop="6696f" cropright="641f" cropbottom="796f" o:title=""/>
            <o:lock v:ext="edit" aspectratio="t"/>
            <w10:wrap type="none"/>
            <w10:anchorlock/>
          </v:shape>
        </w:pict>
      </w:r>
      <w:r>
        <w:br w:type="page"/>
      </w:r>
    </w:p>
    <w:p>
      <w:pPr>
        <w:pStyle w:val="3"/>
      </w:pPr>
      <w:bookmarkStart w:id="109" w:name="_Toc82435213"/>
      <w:bookmarkStart w:id="110" w:name="_Toc90558560"/>
      <w:r>
        <w:rPr>
          <w:rFonts w:hint="eastAsia" w:cs="仿宋"/>
        </w:rPr>
        <w:t>附图</w:t>
      </w:r>
      <w:r>
        <w:t xml:space="preserve">2 </w:t>
      </w:r>
      <w:r>
        <w:rPr>
          <w:rFonts w:hint="eastAsia" w:cs="仿宋"/>
        </w:rPr>
        <w:t>沈阳市水系图</w:t>
      </w:r>
      <w:bookmarkEnd w:id="109"/>
      <w:bookmarkEnd w:id="110"/>
    </w:p>
    <w:p>
      <w:pPr>
        <w:ind w:firstLine="0" w:firstLineChars="0"/>
      </w:pPr>
      <w:r>
        <w:pict>
          <v:shape id="_x0000_i1034" o:spt="75" type="#_x0000_t75" style="height:615pt;width:484.5pt;" filled="f" o:preferrelative="t" stroked="f" coordsize="21600,21600">
            <v:path/>
            <v:fill on="f" focussize="0,0"/>
            <v:stroke on="f" joinstyle="miter"/>
            <v:imagedata r:id="rId21" croptop="6786f" o:title=""/>
            <o:lock v:ext="edit" aspectratio="t"/>
            <w10:wrap type="none"/>
            <w10:anchorlock/>
          </v:shape>
        </w:pict>
      </w:r>
    </w:p>
    <w:p>
      <w:pPr>
        <w:pStyle w:val="3"/>
      </w:pPr>
      <w:bookmarkStart w:id="111" w:name="_Toc82435214"/>
      <w:bookmarkStart w:id="112" w:name="_Toc90558561"/>
      <w:r>
        <w:rPr>
          <w:rFonts w:hint="eastAsia" w:cs="仿宋"/>
        </w:rPr>
        <w:t>附图</w:t>
      </w:r>
      <w:r>
        <w:t xml:space="preserve">3 </w:t>
      </w:r>
      <w:r>
        <w:rPr>
          <w:rFonts w:hint="eastAsia" w:cs="仿宋"/>
        </w:rPr>
        <w:t>沈阳市水功能区划图</w:t>
      </w:r>
      <w:bookmarkEnd w:id="111"/>
      <w:bookmarkEnd w:id="112"/>
    </w:p>
    <w:p>
      <w:pPr>
        <w:ind w:firstLine="0" w:firstLineChars="0"/>
        <w:jc w:val="center"/>
        <w:rPr>
          <w:b/>
          <w:bCs/>
          <w:sz w:val="30"/>
          <w:szCs w:val="30"/>
        </w:rPr>
      </w:pPr>
      <w:r>
        <w:pict>
          <v:shape id="_x0000_i1035" o:spt="75" type="#_x0000_t75" style="height:536.25pt;width:407.25pt;" filled="f" o:preferrelative="t" stroked="f" coordsize="21600,21600">
            <v:path/>
            <v:fill on="f" focussize="0,0"/>
            <v:stroke on="f" joinstyle="miter"/>
            <v:imagedata r:id="rId22" cropleft="5984f" croptop="1727f" cropright="5573f" cropbottom="1195f" o:title=""/>
            <o:lock v:ext="edit" aspectratio="t"/>
            <w10:wrap type="none"/>
            <w10:anchorlock/>
          </v:shape>
        </w:pict>
      </w:r>
      <w:r>
        <w:br w:type="page"/>
      </w:r>
    </w:p>
    <w:p>
      <w:pPr>
        <w:pStyle w:val="3"/>
      </w:pPr>
      <w:bookmarkStart w:id="113" w:name="_Toc82435215"/>
      <w:bookmarkStart w:id="114" w:name="_Toc90558562"/>
      <w:r>
        <w:rPr>
          <w:rFonts w:hint="eastAsia" w:cs="仿宋"/>
        </w:rPr>
        <w:t>附图</w:t>
      </w:r>
      <w:r>
        <w:t xml:space="preserve">4 </w:t>
      </w:r>
      <w:r>
        <w:rPr>
          <w:rFonts w:hint="eastAsia" w:cs="仿宋"/>
        </w:rPr>
        <w:t>沈阳市地表覆盖类型图</w:t>
      </w:r>
      <w:bookmarkEnd w:id="113"/>
      <w:bookmarkEnd w:id="114"/>
    </w:p>
    <w:p>
      <w:pPr>
        <w:ind w:firstLine="31680"/>
      </w:pPr>
      <w:r>
        <w:pict>
          <v:shape id="_x0000_i1036" o:spt="75" type="#_x0000_t75" style="height:560.25pt;width:361.5pt;" filled="f" o:preferrelative="t" stroked="f" coordsize="21600,21600">
            <v:path/>
            <v:fill on="f" focussize="0,0"/>
            <v:stroke on="f" joinstyle="miter"/>
            <v:imagedata r:id="rId23" o:title=""/>
            <o:lock v:ext="edit" aspectratio="t"/>
            <w10:wrap type="none"/>
            <w10:anchorlock/>
          </v:shape>
        </w:pict>
      </w:r>
    </w:p>
    <w:p>
      <w:pPr>
        <w:pStyle w:val="3"/>
      </w:pPr>
      <w:bookmarkStart w:id="115" w:name="_Toc82435216"/>
      <w:bookmarkStart w:id="116" w:name="_Toc90558563"/>
      <w:r>
        <w:rPr>
          <w:rFonts w:hint="eastAsia" w:cs="仿宋"/>
        </w:rPr>
        <w:t>附图</w:t>
      </w:r>
      <w:r>
        <w:t xml:space="preserve">5 </w:t>
      </w:r>
      <w:r>
        <w:rPr>
          <w:rFonts w:hint="eastAsia" w:cs="仿宋"/>
        </w:rPr>
        <w:t>沈阳市植被覆盖图</w:t>
      </w:r>
      <w:bookmarkEnd w:id="115"/>
      <w:bookmarkEnd w:id="116"/>
    </w:p>
    <w:p>
      <w:pPr>
        <w:ind w:firstLine="31680"/>
        <w:jc w:val="center"/>
      </w:pPr>
      <w:r>
        <w:pict>
          <v:shape id="_x0000_i1037" o:spt="75" type="#_x0000_t75" style="height:561.75pt;width:333pt;" filled="f" o:preferrelative="t" stroked="f" coordsize="21600,21600">
            <v:path/>
            <v:fill on="f" focussize="0,0"/>
            <v:stroke on="f" joinstyle="miter"/>
            <v:imagedata r:id="rId24" o:title=""/>
            <o:lock v:ext="edit" aspectratio="t"/>
            <w10:wrap type="none"/>
            <w10:anchorlock/>
          </v:shape>
        </w:pict>
      </w:r>
    </w:p>
    <w:p>
      <w:pPr>
        <w:pStyle w:val="3"/>
      </w:pPr>
      <w:bookmarkStart w:id="117" w:name="_Toc90558564"/>
      <w:r>
        <w:rPr>
          <w:rFonts w:hint="eastAsia" w:cs="仿宋"/>
        </w:rPr>
        <w:t>附图</w:t>
      </w:r>
      <w:r>
        <w:t xml:space="preserve">6 </w:t>
      </w:r>
      <w:r>
        <w:rPr>
          <w:rFonts w:hint="eastAsia" w:cs="仿宋"/>
        </w:rPr>
        <w:t>规模畜禽养殖场分布示意图</w:t>
      </w:r>
      <w:bookmarkEnd w:id="108"/>
      <w:bookmarkEnd w:id="117"/>
    </w:p>
    <w:p>
      <w:pPr>
        <w:widowControl/>
        <w:spacing w:line="240" w:lineRule="auto"/>
        <w:ind w:firstLine="0" w:firstLineChars="0"/>
        <w:jc w:val="center"/>
      </w:pPr>
      <w:r>
        <w:pict>
          <v:shape id="_x0000_i1038" o:spt="75" type="#_x0000_t75" style="height:609pt;width:456.75pt;" filled="f" o:preferrelative="t" stroked="f" coordsize="21600,21600">
            <v:path/>
            <v:fill on="f" focussize="0,0"/>
            <v:stroke on="f" joinstyle="miter"/>
            <v:imagedata r:id="rId25" o:title=""/>
            <o:lock v:ext="edit" aspectratio="t"/>
            <w10:wrap type="none"/>
            <w10:anchorlock/>
          </v:shape>
        </w:pict>
      </w:r>
    </w:p>
    <w:p>
      <w:pPr>
        <w:pStyle w:val="3"/>
      </w:pPr>
      <w:bookmarkStart w:id="118" w:name="_Toc90558565"/>
      <w:r>
        <w:rPr>
          <w:rFonts w:hint="eastAsia" w:cs="仿宋"/>
        </w:rPr>
        <w:t>附图</w:t>
      </w:r>
      <w:r>
        <w:t>6-1 92</w:t>
      </w:r>
      <w:r>
        <w:rPr>
          <w:rFonts w:hint="eastAsia" w:cs="仿宋"/>
        </w:rPr>
        <w:t>家大型规模养殖场分布示意图</w:t>
      </w:r>
      <w:bookmarkEnd w:id="118"/>
    </w:p>
    <w:p>
      <w:pPr>
        <w:widowControl/>
        <w:spacing w:line="240" w:lineRule="auto"/>
        <w:ind w:firstLine="0" w:firstLineChars="0"/>
        <w:jc w:val="center"/>
      </w:pPr>
      <w:r>
        <w:pict>
          <v:shape id="_x0000_i1039" o:spt="75" type="#_x0000_t75" style="height:603pt;width:456.75pt;" filled="f" o:preferrelative="t" stroked="f" coordsize="21600,21600">
            <v:path/>
            <v:fill on="f" focussize="0,0"/>
            <v:stroke on="f" joinstyle="miter"/>
            <v:imagedata r:id="rId26" o:title=""/>
            <o:lock v:ext="edit" aspectratio="t"/>
            <w10:wrap type="none"/>
            <w10:anchorlock/>
          </v:shape>
        </w:pict>
      </w:r>
    </w:p>
    <w:p>
      <w:pPr>
        <w:pStyle w:val="3"/>
      </w:pPr>
      <w:bookmarkStart w:id="119" w:name="_Toc82435211"/>
      <w:bookmarkStart w:id="120" w:name="_Toc90558566"/>
      <w:r>
        <w:rPr>
          <w:rFonts w:hint="eastAsia" w:cs="仿宋"/>
        </w:rPr>
        <w:t>附图</w:t>
      </w:r>
      <w:r>
        <w:t xml:space="preserve">7 </w:t>
      </w:r>
      <w:r>
        <w:rPr>
          <w:rFonts w:hint="eastAsia" w:cs="仿宋"/>
        </w:rPr>
        <w:t>沈阳市主要畜种示范区分布示意图</w:t>
      </w:r>
      <w:bookmarkEnd w:id="119"/>
      <w:bookmarkEnd w:id="120"/>
    </w:p>
    <w:p>
      <w:pPr>
        <w:ind w:firstLine="0" w:firstLineChars="0"/>
        <w:jc w:val="center"/>
        <w:rPr>
          <w:b/>
          <w:bCs/>
          <w:sz w:val="30"/>
          <w:szCs w:val="30"/>
        </w:rPr>
      </w:pPr>
      <w:r>
        <w:t xml:space="preserve"> </w:t>
      </w:r>
      <w:r>
        <w:pict>
          <v:shape id="_x0000_i1040" o:spt="75" type="#_x0000_t75" style="height:579pt;width:441pt;" filled="f" o:preferrelative="t" stroked="f" coordsize="21600,21600">
            <v:path/>
            <v:fill on="f" focussize="0,0"/>
            <v:stroke on="f" joinstyle="miter"/>
            <v:imagedata r:id="rId27" cropleft="2177f" croptop="4221f" cropright="2082f" cropbottom="3596f" o:title=""/>
            <o:lock v:ext="edit" aspectratio="t"/>
            <w10:wrap type="none"/>
            <w10:anchorlock/>
          </v:shape>
        </w:pict>
      </w:r>
      <w:r>
        <w:br w:type="page"/>
      </w:r>
    </w:p>
    <w:p>
      <w:pPr>
        <w:pStyle w:val="3"/>
      </w:pPr>
      <w:bookmarkStart w:id="121" w:name="_Toc82435217"/>
      <w:bookmarkStart w:id="122" w:name="_Toc90558567"/>
      <w:r>
        <w:rPr>
          <w:rFonts w:hint="eastAsia" w:cs="仿宋"/>
        </w:rPr>
        <w:t>附图</w:t>
      </w:r>
      <w:r>
        <w:t xml:space="preserve">8 </w:t>
      </w:r>
      <w:r>
        <w:rPr>
          <w:rFonts w:hint="eastAsia" w:cs="仿宋"/>
        </w:rPr>
        <w:t>沈阳市畜禽禁养区分布示意图</w:t>
      </w:r>
      <w:bookmarkEnd w:id="121"/>
      <w:bookmarkEnd w:id="122"/>
    </w:p>
    <w:p>
      <w:pPr>
        <w:ind w:firstLine="0" w:firstLineChars="0"/>
        <w:jc w:val="center"/>
      </w:pPr>
      <w:r>
        <w:pict>
          <v:shape id="_x0000_i1041" o:spt="75" type="#_x0000_t75" style="height:600.75pt;width:456pt;" filled="f" o:preferrelative="t" stroked="f" coordsize="21600,21600">
            <v:path/>
            <v:fill on="f" focussize="0,0"/>
            <v:stroke on="f" joinstyle="miter"/>
            <v:imagedata r:id="rId28" o:title=""/>
            <o:lock v:ext="edit" aspectratio="t"/>
            <w10:wrap type="none"/>
            <w10:anchorlock/>
          </v:shape>
        </w:pict>
      </w:r>
      <w:r>
        <w:br w:type="page"/>
      </w:r>
    </w:p>
    <w:p>
      <w:pPr>
        <w:pStyle w:val="3"/>
      </w:pPr>
      <w:bookmarkStart w:id="123" w:name="_Toc90558568"/>
      <w:r>
        <w:rPr>
          <w:rFonts w:hint="eastAsia" w:cs="仿宋"/>
        </w:rPr>
        <w:t>附图</w:t>
      </w:r>
      <w:r>
        <w:t>8-1</w:t>
      </w:r>
      <w:r>
        <w:rPr>
          <w:rFonts w:hint="eastAsia" w:cs="仿宋"/>
        </w:rPr>
        <w:t>浑南区禁养区分布图</w:t>
      </w:r>
      <w:bookmarkEnd w:id="123"/>
    </w:p>
    <w:p>
      <w:pPr>
        <w:adjustRightInd w:val="0"/>
        <w:snapToGrid w:val="0"/>
        <w:ind w:firstLine="0" w:firstLineChars="0"/>
        <w:jc w:val="center"/>
        <w:sectPr>
          <w:pgSz w:w="11906" w:h="16838"/>
          <w:pgMar w:top="1440" w:right="1080" w:bottom="1440" w:left="1080" w:header="851" w:footer="992" w:gutter="0"/>
          <w:cols w:space="425" w:num="1"/>
          <w:docGrid w:type="lines" w:linePitch="381" w:charSpace="0"/>
        </w:sectPr>
      </w:pPr>
      <w:r>
        <w:pict>
          <v:shape id="_x0000_i1042" o:spt="75" type="#_x0000_t75" style="height:621.75pt;width:466.5pt;" filled="f" o:preferrelative="t" stroked="f" coordsize="21600,21600">
            <v:path/>
            <v:fill on="f" focussize="0,0"/>
            <v:stroke on="f" joinstyle="miter"/>
            <v:imagedata r:id="rId29" o:title=""/>
            <o:lock v:ext="edit" aspectratio="t"/>
            <w10:wrap type="none"/>
            <w10:anchorlock/>
          </v:shape>
        </w:pict>
      </w:r>
    </w:p>
    <w:p>
      <w:pPr>
        <w:pStyle w:val="3"/>
      </w:pPr>
      <w:bookmarkStart w:id="124" w:name="_Toc90558569"/>
      <w:r>
        <w:rPr>
          <w:rFonts w:hint="eastAsia" w:cs="仿宋"/>
        </w:rPr>
        <w:t>附图</w:t>
      </w:r>
      <w:r>
        <w:t>8-2</w:t>
      </w:r>
      <w:r>
        <w:rPr>
          <w:rFonts w:hint="eastAsia" w:cs="仿宋"/>
        </w:rPr>
        <w:t>沈北新区禁养区分布图</w:t>
      </w:r>
      <w:bookmarkEnd w:id="124"/>
    </w:p>
    <w:p>
      <w:pPr>
        <w:adjustRightInd w:val="0"/>
        <w:snapToGrid w:val="0"/>
        <w:ind w:firstLine="0" w:firstLineChars="0"/>
        <w:jc w:val="center"/>
        <w:sectPr>
          <w:pgSz w:w="16838" w:h="11906" w:orient="landscape"/>
          <w:pgMar w:top="1080" w:right="1440" w:bottom="1080" w:left="1440" w:header="851" w:footer="992" w:gutter="0"/>
          <w:cols w:space="425" w:num="1"/>
          <w:docGrid w:type="lines" w:linePitch="381" w:charSpace="0"/>
        </w:sectPr>
      </w:pPr>
      <w:r>
        <w:pict>
          <v:shape id="_x0000_i1043" o:spt="75" type="#_x0000_t75" style="height:390.75pt;width:525.75pt;" filled="f" o:preferrelative="t" stroked="f" coordsize="21600,21600">
            <v:path/>
            <v:fill on="f" focussize="0,0"/>
            <v:stroke on="f" joinstyle="miter"/>
            <v:imagedata r:id="rId30" o:title=""/>
            <o:lock v:ext="edit" aspectratio="t"/>
            <w10:wrap type="none"/>
            <w10:anchorlock/>
          </v:shape>
        </w:pict>
      </w:r>
    </w:p>
    <w:p>
      <w:pPr>
        <w:pStyle w:val="3"/>
      </w:pPr>
      <w:bookmarkStart w:id="125" w:name="_Toc90558570"/>
      <w:r>
        <w:rPr>
          <w:rFonts w:hint="eastAsia" w:cs="仿宋"/>
        </w:rPr>
        <w:t>附图</w:t>
      </w:r>
      <w:r>
        <w:t>8-3</w:t>
      </w:r>
      <w:r>
        <w:rPr>
          <w:rFonts w:hint="eastAsia" w:cs="仿宋"/>
        </w:rPr>
        <w:t>于洪区禁养区分布图</w:t>
      </w:r>
      <w:bookmarkEnd w:id="125"/>
    </w:p>
    <w:p>
      <w:pPr>
        <w:adjustRightInd w:val="0"/>
        <w:snapToGrid w:val="0"/>
        <w:ind w:firstLine="0" w:firstLineChars="0"/>
        <w:jc w:val="center"/>
        <w:sectPr>
          <w:pgSz w:w="11906" w:h="16838"/>
          <w:pgMar w:top="1440" w:right="1080" w:bottom="1440" w:left="1080" w:header="851" w:footer="992" w:gutter="0"/>
          <w:cols w:space="425" w:num="1"/>
          <w:docGrid w:type="lines" w:linePitch="381" w:charSpace="0"/>
        </w:sectPr>
      </w:pPr>
      <w:r>
        <w:pict>
          <v:shape id="_x0000_i1044" o:spt="75" type="#_x0000_t75" style="height:622.5pt;width:467.25pt;" filled="f" o:preferrelative="t" stroked="f" coordsize="21600,21600">
            <v:path/>
            <v:fill on="f" focussize="0,0"/>
            <v:stroke on="f" joinstyle="miter"/>
            <v:imagedata r:id="rId31" o:title=""/>
            <o:lock v:ext="edit" aspectratio="t"/>
            <w10:wrap type="none"/>
            <w10:anchorlock/>
          </v:shape>
        </w:pict>
      </w:r>
    </w:p>
    <w:p>
      <w:pPr>
        <w:pStyle w:val="3"/>
      </w:pPr>
      <w:bookmarkStart w:id="126" w:name="_Toc90558571"/>
      <w:r>
        <w:rPr>
          <w:rFonts w:hint="eastAsia" w:cs="仿宋"/>
        </w:rPr>
        <w:t>附图</w:t>
      </w:r>
      <w:r>
        <w:t>8-4</w:t>
      </w:r>
      <w:r>
        <w:rPr>
          <w:rFonts w:hint="eastAsia" w:cs="仿宋"/>
        </w:rPr>
        <w:t>铁西区禁养区分布图</w:t>
      </w:r>
      <w:bookmarkEnd w:id="126"/>
    </w:p>
    <w:p>
      <w:pPr>
        <w:adjustRightInd w:val="0"/>
        <w:snapToGrid w:val="0"/>
        <w:ind w:firstLine="0" w:firstLineChars="0"/>
        <w:jc w:val="center"/>
      </w:pPr>
      <w:r>
        <w:pict>
          <v:shape id="_x0000_i1045" o:spt="75" type="#_x0000_t75" style="height:394.5pt;width:525.75pt;" filled="f" o:preferrelative="t" stroked="f" coordsize="21600,21600">
            <v:path/>
            <v:fill on="f" focussize="0,0"/>
            <v:stroke on="f" joinstyle="miter"/>
            <v:imagedata r:id="rId32" o:title=""/>
            <o:lock v:ext="edit" aspectratio="t"/>
            <w10:wrap type="none"/>
            <w10:anchorlock/>
          </v:shape>
        </w:pict>
      </w:r>
    </w:p>
    <w:p>
      <w:pPr>
        <w:pStyle w:val="3"/>
      </w:pPr>
      <w:bookmarkStart w:id="127" w:name="_Toc90558572"/>
      <w:r>
        <w:rPr>
          <w:rFonts w:hint="eastAsia" w:cs="仿宋"/>
        </w:rPr>
        <w:t>附图</w:t>
      </w:r>
      <w:r>
        <w:t>8-5</w:t>
      </w:r>
      <w:r>
        <w:rPr>
          <w:rFonts w:hint="eastAsia" w:cs="仿宋"/>
        </w:rPr>
        <w:t>苏家屯区禁养区分布图</w:t>
      </w:r>
      <w:bookmarkEnd w:id="127"/>
    </w:p>
    <w:p>
      <w:pPr>
        <w:adjustRightInd w:val="0"/>
        <w:snapToGrid w:val="0"/>
        <w:ind w:firstLine="0" w:firstLineChars="0"/>
        <w:jc w:val="center"/>
        <w:sectPr>
          <w:pgSz w:w="16838" w:h="11906" w:orient="landscape"/>
          <w:pgMar w:top="1080" w:right="1440" w:bottom="1080" w:left="1440" w:header="851" w:footer="992" w:gutter="0"/>
          <w:cols w:space="425" w:num="1"/>
          <w:docGrid w:type="lines" w:linePitch="381" w:charSpace="0"/>
        </w:sectPr>
      </w:pPr>
      <w:r>
        <w:pict>
          <v:shape id="_x0000_i1046" o:spt="75" type="#_x0000_t75" style="height:393.75pt;width:525pt;" filled="f" o:preferrelative="t" stroked="f" coordsize="21600,21600">
            <v:path/>
            <v:fill on="f" focussize="0,0"/>
            <v:stroke on="f" joinstyle="miter"/>
            <v:imagedata r:id="rId33" o:title=""/>
            <o:lock v:ext="edit" aspectratio="t"/>
            <w10:wrap type="none"/>
            <w10:anchorlock/>
          </v:shape>
        </w:pict>
      </w:r>
    </w:p>
    <w:p>
      <w:pPr>
        <w:pStyle w:val="3"/>
      </w:pPr>
      <w:bookmarkStart w:id="128" w:name="_Toc90558573"/>
      <w:r>
        <w:rPr>
          <w:rFonts w:hint="eastAsia" w:cs="仿宋"/>
        </w:rPr>
        <w:t>附图</w:t>
      </w:r>
      <w:r>
        <w:t>8-6</w:t>
      </w:r>
      <w:r>
        <w:rPr>
          <w:rFonts w:hint="eastAsia" w:cs="仿宋"/>
        </w:rPr>
        <w:t>辽中区禁养区分布图</w:t>
      </w:r>
      <w:bookmarkEnd w:id="128"/>
    </w:p>
    <w:p>
      <w:pPr>
        <w:ind w:firstLine="0" w:firstLineChars="0"/>
        <w:jc w:val="center"/>
        <w:sectPr>
          <w:pgSz w:w="11906" w:h="16838"/>
          <w:pgMar w:top="1440" w:right="1080" w:bottom="1440" w:left="1080" w:header="851" w:footer="992" w:gutter="0"/>
          <w:cols w:space="425" w:num="1"/>
          <w:docGrid w:type="lines" w:linePitch="381" w:charSpace="0"/>
        </w:sectPr>
      </w:pPr>
      <w:r>
        <w:pict>
          <v:shape id="_x0000_i1047" o:spt="75" type="#_x0000_t75" style="height:622.5pt;width:466.5pt;" filled="f" o:preferrelative="t" stroked="f" coordsize="21600,21600">
            <v:path/>
            <v:fill on="f" focussize="0,0"/>
            <v:stroke on="f" joinstyle="miter"/>
            <v:imagedata r:id="rId34" o:title=""/>
            <o:lock v:ext="edit" aspectratio="t"/>
            <w10:wrap type="none"/>
            <w10:anchorlock/>
          </v:shape>
        </w:pict>
      </w:r>
    </w:p>
    <w:p>
      <w:pPr>
        <w:pStyle w:val="3"/>
      </w:pPr>
      <w:bookmarkStart w:id="129" w:name="_Toc90558574"/>
      <w:r>
        <w:rPr>
          <w:rFonts w:hint="eastAsia" w:cs="仿宋"/>
        </w:rPr>
        <w:t>附图</w:t>
      </w:r>
      <w:r>
        <w:t>8-7</w:t>
      </w:r>
      <w:r>
        <w:rPr>
          <w:rFonts w:hint="eastAsia" w:cs="仿宋"/>
        </w:rPr>
        <w:t>新民市禁养区分布图</w:t>
      </w:r>
      <w:bookmarkEnd w:id="129"/>
    </w:p>
    <w:p>
      <w:pPr>
        <w:adjustRightInd w:val="0"/>
        <w:snapToGrid w:val="0"/>
        <w:ind w:firstLine="0" w:firstLineChars="0"/>
        <w:jc w:val="center"/>
      </w:pPr>
      <w:r>
        <w:pict>
          <v:shape id="_x0000_i1048" o:spt="75" type="#_x0000_t75" style="height:390pt;width:523.5pt;" filled="f" o:preferrelative="t" stroked="f" coordsize="21600,21600">
            <v:path/>
            <v:fill on="f" focussize="0,0"/>
            <v:stroke on="f" joinstyle="miter"/>
            <v:imagedata r:id="rId35" o:title=""/>
            <o:lock v:ext="edit" aspectratio="t"/>
            <w10:wrap type="none"/>
            <w10:anchorlock/>
          </v:shape>
        </w:pict>
      </w:r>
    </w:p>
    <w:p>
      <w:pPr>
        <w:pStyle w:val="3"/>
      </w:pPr>
      <w:bookmarkStart w:id="130" w:name="_Toc90558575"/>
      <w:r>
        <w:rPr>
          <w:rFonts w:hint="eastAsia" w:cs="仿宋"/>
        </w:rPr>
        <w:t>附图</w:t>
      </w:r>
      <w:r>
        <w:t>8-8</w:t>
      </w:r>
      <w:r>
        <w:rPr>
          <w:rFonts w:hint="eastAsia" w:cs="仿宋"/>
        </w:rPr>
        <w:t>康平县禁养区分布图</w:t>
      </w:r>
      <w:bookmarkEnd w:id="130"/>
    </w:p>
    <w:p>
      <w:pPr>
        <w:adjustRightInd w:val="0"/>
        <w:snapToGrid w:val="0"/>
        <w:ind w:firstLine="0" w:firstLineChars="0"/>
        <w:jc w:val="center"/>
      </w:pPr>
      <w:r>
        <w:pict>
          <v:shape id="_x0000_i1049" o:spt="75" type="#_x0000_t75" style="height:393pt;width:523.5pt;" filled="f" o:preferrelative="t" stroked="f" coordsize="21600,21600">
            <v:path/>
            <v:fill on="f" focussize="0,0"/>
            <v:stroke on="f" joinstyle="miter"/>
            <v:imagedata r:id="rId36" o:title=""/>
            <o:lock v:ext="edit" aspectratio="t"/>
            <w10:wrap type="none"/>
            <w10:anchorlock/>
          </v:shape>
        </w:pict>
      </w:r>
    </w:p>
    <w:p>
      <w:pPr>
        <w:pStyle w:val="3"/>
      </w:pPr>
      <w:bookmarkStart w:id="131" w:name="_Toc90558576"/>
      <w:r>
        <w:rPr>
          <w:rFonts w:hint="eastAsia" w:cs="仿宋"/>
        </w:rPr>
        <w:t>附图</w:t>
      </w:r>
      <w:r>
        <w:t>8-9</w:t>
      </w:r>
      <w:r>
        <w:rPr>
          <w:rFonts w:hint="eastAsia" w:cs="仿宋"/>
        </w:rPr>
        <w:t>法库县禁养区分布图</w:t>
      </w:r>
      <w:bookmarkEnd w:id="131"/>
    </w:p>
    <w:p>
      <w:pPr>
        <w:adjustRightInd w:val="0"/>
        <w:snapToGrid w:val="0"/>
        <w:ind w:firstLine="0" w:firstLineChars="0"/>
        <w:jc w:val="center"/>
        <w:sectPr>
          <w:pgSz w:w="16838" w:h="11906" w:orient="landscape"/>
          <w:pgMar w:top="1080" w:right="1440" w:bottom="1080" w:left="1440" w:header="851" w:footer="992" w:gutter="0"/>
          <w:cols w:space="425" w:num="1"/>
          <w:docGrid w:type="lines" w:linePitch="381" w:charSpace="0"/>
        </w:sectPr>
      </w:pPr>
      <w:r>
        <w:pict>
          <v:shape id="_x0000_i1050" o:spt="75" type="#_x0000_t75" style="height:404.25pt;width:539.25pt;" filled="f" o:preferrelative="t" stroked="f" coordsize="21600,21600">
            <v:path/>
            <v:fill on="f" focussize="0,0"/>
            <v:stroke on="f" joinstyle="miter"/>
            <v:imagedata r:id="rId37" o:title=""/>
            <o:lock v:ext="edit" aspectratio="t"/>
            <w10:wrap type="none"/>
            <w10:anchorlock/>
          </v:shape>
        </w:pict>
      </w:r>
    </w:p>
    <w:p>
      <w:pPr>
        <w:pStyle w:val="3"/>
      </w:pPr>
      <w:bookmarkStart w:id="132" w:name="_Toc82435218"/>
      <w:bookmarkStart w:id="133" w:name="_Toc90558577"/>
      <w:r>
        <w:rPr>
          <w:rFonts w:hint="eastAsia" w:cs="仿宋"/>
        </w:rPr>
        <w:t>附图</w:t>
      </w:r>
      <w:r>
        <w:t xml:space="preserve">9 </w:t>
      </w:r>
      <w:r>
        <w:rPr>
          <w:rFonts w:hint="eastAsia" w:cs="仿宋"/>
        </w:rPr>
        <w:t>沈阳市农作物生产分区分布示意图</w:t>
      </w:r>
      <w:bookmarkEnd w:id="132"/>
      <w:bookmarkEnd w:id="133"/>
    </w:p>
    <w:p>
      <w:pPr>
        <w:adjustRightInd w:val="0"/>
        <w:snapToGrid w:val="0"/>
        <w:ind w:firstLine="0" w:firstLineChars="0"/>
        <w:jc w:val="center"/>
      </w:pPr>
      <w:r>
        <w:rPr>
          <w:sz w:val="24"/>
          <w:szCs w:val="24"/>
        </w:rPr>
        <w:pict>
          <v:shape id="_x0000_i1051" o:spt="75" alt="农作物主产区" type="#_x0000_t75" style="height:573pt;width:432.75pt;" filled="f" o:preferrelative="t" stroked="f" coordsize="21600,21600">
            <v:path/>
            <v:fill on="f" focussize="0,0"/>
            <v:stroke on="f" joinstyle="miter"/>
            <v:imagedata r:id="rId38" cropleft="1286f" croptop="3384f" cropbottom="1506f" o:title=""/>
            <o:lock v:ext="edit" aspectratio="t"/>
            <w10:wrap type="none"/>
            <w10:anchorlock/>
          </v:shape>
        </w:pict>
      </w:r>
    </w:p>
    <w:p>
      <w:pPr>
        <w:widowControl/>
        <w:spacing w:line="240" w:lineRule="auto"/>
        <w:ind w:firstLine="0" w:firstLineChars="0"/>
        <w:jc w:val="left"/>
        <w:rPr>
          <w:b/>
          <w:bCs/>
          <w:sz w:val="30"/>
          <w:szCs w:val="30"/>
        </w:rPr>
      </w:pPr>
      <w:r>
        <w:br w:type="page"/>
      </w:r>
    </w:p>
    <w:p>
      <w:pPr>
        <w:adjustRightInd w:val="0"/>
        <w:snapToGrid w:val="0"/>
        <w:ind w:firstLine="0" w:firstLineChars="0"/>
        <w:jc w:val="center"/>
        <w:rPr>
          <w:b/>
          <w:bCs/>
          <w:kern w:val="44"/>
          <w:sz w:val="32"/>
          <w:szCs w:val="32"/>
        </w:rPr>
        <w:sectPr>
          <w:pgSz w:w="11906" w:h="16838"/>
          <w:pgMar w:top="1440" w:right="1800" w:bottom="1440" w:left="1800" w:header="851" w:footer="992" w:gutter="0"/>
          <w:cols w:space="425" w:num="1"/>
          <w:docGrid w:type="lines" w:linePitch="312" w:charSpace="0"/>
        </w:sectPr>
      </w:pPr>
    </w:p>
    <w:p>
      <w:pPr>
        <w:pStyle w:val="3"/>
      </w:pPr>
      <w:bookmarkStart w:id="134" w:name="_Toc82435221"/>
      <w:bookmarkStart w:id="135" w:name="_Toc90558578"/>
      <w:r>
        <w:rPr>
          <w:rFonts w:hint="eastAsia" w:cs="仿宋"/>
        </w:rPr>
        <w:t>附图</w:t>
      </w:r>
      <w:bookmarkStart w:id="136" w:name="_Hlk80711044"/>
      <w:r>
        <w:t xml:space="preserve">10 </w:t>
      </w:r>
      <w:r>
        <w:rPr>
          <w:rFonts w:hint="eastAsia" w:cs="仿宋"/>
        </w:rPr>
        <w:t>沈阳市环境管控单元分布示意图</w:t>
      </w:r>
      <w:bookmarkEnd w:id="134"/>
      <w:bookmarkEnd w:id="135"/>
      <w:bookmarkEnd w:id="136"/>
    </w:p>
    <w:p>
      <w:pPr>
        <w:adjustRightInd w:val="0"/>
        <w:snapToGrid w:val="0"/>
        <w:ind w:firstLine="0" w:firstLineChars="0"/>
        <w:jc w:val="center"/>
        <w:rPr>
          <w:b/>
          <w:bCs/>
          <w:kern w:val="44"/>
          <w:sz w:val="32"/>
          <w:szCs w:val="32"/>
        </w:rPr>
      </w:pPr>
      <w:r>
        <w:pict>
          <v:shape id="_x0000_i1052" o:spt="75" type="#_x0000_t75" style="height:360pt;width:540pt;" filled="f" o:preferrelative="t" stroked="f" coordsize="21600,21600">
            <v:path/>
            <v:fill on="f" focussize="0,0"/>
            <v:stroke on="f" joinstyle="miter"/>
            <v:imagedata r:id="rId39" o:title=""/>
            <o:lock v:ext="edit" aspectratio="t"/>
            <w10:wrap type="none"/>
            <w10:anchorlock/>
          </v:shape>
        </w:pict>
      </w:r>
    </w:p>
    <w:p>
      <w:pPr>
        <w:widowControl/>
        <w:spacing w:line="240" w:lineRule="auto"/>
        <w:ind w:firstLine="0" w:firstLineChars="0"/>
        <w:jc w:val="left"/>
        <w:rPr>
          <w:b/>
          <w:bCs/>
          <w:kern w:val="44"/>
          <w:sz w:val="32"/>
          <w:szCs w:val="32"/>
        </w:rPr>
        <w:sectPr>
          <w:pgSz w:w="16838" w:h="11906" w:orient="landscape"/>
          <w:pgMar w:top="1800" w:right="1440" w:bottom="1800" w:left="1440" w:header="851" w:footer="992" w:gutter="0"/>
          <w:cols w:space="425" w:num="1"/>
          <w:docGrid w:type="lines" w:linePitch="381" w:charSpace="0"/>
        </w:sectPr>
      </w:pPr>
    </w:p>
    <w:p>
      <w:pPr>
        <w:pStyle w:val="3"/>
      </w:pPr>
      <w:bookmarkStart w:id="137" w:name="_Toc90558579"/>
      <w:r>
        <w:rPr>
          <w:rFonts w:hint="eastAsia" w:cs="仿宋"/>
        </w:rPr>
        <w:t>附图</w:t>
      </w:r>
      <w:r>
        <w:t xml:space="preserve">11 </w:t>
      </w:r>
      <w:r>
        <w:rPr>
          <w:rFonts w:hint="eastAsia" w:cs="仿宋"/>
        </w:rPr>
        <w:t>沈阳市</w:t>
      </w:r>
      <w:bookmarkStart w:id="138" w:name="_Hlk83648566"/>
      <w:r>
        <w:rPr>
          <w:rFonts w:hint="eastAsia" w:cs="仿宋"/>
        </w:rPr>
        <w:t>畜禽粪污转运及集中处理中心建设布局图</w:t>
      </w:r>
      <w:bookmarkEnd w:id="137"/>
      <w:bookmarkEnd w:id="138"/>
    </w:p>
    <w:p>
      <w:pPr>
        <w:adjustRightInd w:val="0"/>
        <w:snapToGrid w:val="0"/>
        <w:ind w:firstLine="0" w:firstLineChars="0"/>
        <w:jc w:val="center"/>
      </w:pPr>
      <w:r>
        <w:pict>
          <v:shape id="_x0000_i1053" o:spt="75" type="#_x0000_t75" style="height:569.25pt;width:423.75pt;" filled="f" o:preferrelative="t" stroked="f" coordsize="21600,21600">
            <v:path/>
            <v:fill on="f" focussize="0,0"/>
            <v:stroke on="f" joinstyle="miter"/>
            <v:imagedata r:id="rId40" o:title=""/>
            <o:lock v:ext="edit" aspectratio="t"/>
            <w10:wrap type="none"/>
            <w10:anchorlock/>
          </v:shape>
        </w:pict>
      </w:r>
    </w:p>
    <w:p>
      <w:pPr>
        <w:ind w:firstLine="0" w:firstLineChars="0"/>
      </w:pPr>
    </w:p>
    <w:p>
      <w:pPr>
        <w:adjustRightInd w:val="0"/>
        <w:snapToGrid w:val="0"/>
        <w:ind w:firstLine="0" w:firstLineChars="0"/>
        <w:jc w:val="center"/>
        <w:sectPr>
          <w:pgSz w:w="11906" w:h="16838"/>
          <w:pgMar w:top="1440" w:right="1800" w:bottom="1440" w:left="1800" w:header="851" w:footer="992" w:gutter="0"/>
          <w:cols w:space="425" w:num="1"/>
          <w:docGrid w:type="lines" w:linePitch="312" w:charSpace="0"/>
        </w:sectPr>
      </w:pPr>
    </w:p>
    <w:p>
      <w:pPr>
        <w:pStyle w:val="3"/>
      </w:pPr>
      <w:bookmarkStart w:id="139" w:name="_Toc90558580"/>
      <w:r>
        <w:rPr>
          <w:rFonts w:hint="eastAsia" w:cs="仿宋"/>
        </w:rPr>
        <w:t>附图</w:t>
      </w:r>
      <w:r>
        <w:t>11-1</w:t>
      </w:r>
      <w:r>
        <w:rPr>
          <w:rFonts w:hint="eastAsia" w:cs="仿宋"/>
        </w:rPr>
        <w:t>沈北新区畜禽粪污转运及集中处理中心建设布局图</w:t>
      </w:r>
      <w:bookmarkEnd w:id="139"/>
    </w:p>
    <w:p>
      <w:pPr>
        <w:adjustRightInd w:val="0"/>
        <w:snapToGrid w:val="0"/>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54" o:spt="75" type="#_x0000_t75" style="height:352.5pt;width:469.5pt;" filled="f" o:preferrelative="t" stroked="f" coordsize="21600,21600">
            <v:path/>
            <v:fill on="f" focussize="0,0"/>
            <v:stroke on="f" joinstyle="miter"/>
            <v:imagedata r:id="rId41" o:title=""/>
            <o:lock v:ext="edit" aspectratio="t"/>
            <w10:wrap type="none"/>
            <w10:anchorlock/>
          </v:shape>
        </w:pict>
      </w:r>
    </w:p>
    <w:p>
      <w:pPr>
        <w:pStyle w:val="3"/>
      </w:pPr>
      <w:bookmarkStart w:id="140" w:name="_Toc90558581"/>
      <w:r>
        <w:rPr>
          <w:rFonts w:hint="eastAsia" w:cs="仿宋"/>
        </w:rPr>
        <w:t>附图</w:t>
      </w:r>
      <w:r>
        <w:t>11-2</w:t>
      </w:r>
      <w:r>
        <w:rPr>
          <w:rFonts w:hint="eastAsia" w:cs="仿宋"/>
        </w:rPr>
        <w:t>辽中区畜禽粪污转运及集中处理中心建设布局图</w:t>
      </w:r>
      <w:bookmarkEnd w:id="140"/>
    </w:p>
    <w:p>
      <w:pPr>
        <w:ind w:firstLine="0" w:firstLineChars="0"/>
        <w:jc w:val="center"/>
        <w:sectPr>
          <w:pgSz w:w="11906" w:h="16838"/>
          <w:pgMar w:top="1440" w:right="1800" w:bottom="1440" w:left="1800" w:header="851" w:footer="992" w:gutter="0"/>
          <w:cols w:space="425" w:num="1"/>
          <w:docGrid w:type="lines" w:linePitch="312" w:charSpace="0"/>
        </w:sectPr>
      </w:pPr>
      <w:r>
        <w:pict>
          <v:shape id="_x0000_i1055" o:spt="75" type="#_x0000_t75" style="height:585.75pt;width:435.75pt;" filled="f" o:preferrelative="t" stroked="f" coordsize="21600,21600">
            <v:path/>
            <v:fill on="f" focussize="0,0"/>
            <v:stroke on="f" joinstyle="miter"/>
            <v:imagedata r:id="rId42" o:title=""/>
            <o:lock v:ext="edit" aspectratio="t"/>
            <w10:wrap type="none"/>
            <w10:anchorlock/>
          </v:shape>
        </w:pict>
      </w:r>
    </w:p>
    <w:p>
      <w:pPr>
        <w:pStyle w:val="3"/>
      </w:pPr>
      <w:bookmarkStart w:id="141" w:name="_Toc90558582"/>
      <w:r>
        <w:rPr>
          <w:rFonts w:hint="eastAsia" w:cs="仿宋"/>
        </w:rPr>
        <w:t>附图</w:t>
      </w:r>
      <w:r>
        <w:t>11-3</w:t>
      </w:r>
      <w:r>
        <w:rPr>
          <w:rFonts w:hint="eastAsia" w:cs="仿宋"/>
        </w:rPr>
        <w:t>新民市畜禽粪污转运及集中处理中心建设布局图</w:t>
      </w:r>
      <w:bookmarkEnd w:id="141"/>
    </w:p>
    <w:p>
      <w:pPr>
        <w:adjustRightInd w:val="0"/>
        <w:snapToGrid w:val="0"/>
        <w:ind w:firstLine="0" w:firstLineChars="0"/>
        <w:jc w:val="center"/>
      </w:pPr>
      <w:r>
        <w:pict>
          <v:shape id="_x0000_i1056" o:spt="75" type="#_x0000_t75" style="height:351.75pt;width:473.25pt;" filled="f" o:preferrelative="t" stroked="f" coordsize="21600,21600">
            <v:path/>
            <v:fill on="f" focussize="0,0"/>
            <v:stroke on="f" joinstyle="miter"/>
            <v:imagedata r:id="rId43" o:title=""/>
            <o:lock v:ext="edit" aspectratio="t"/>
            <w10:wrap type="none"/>
            <w10:anchorlock/>
          </v:shape>
        </w:pict>
      </w:r>
    </w:p>
    <w:p>
      <w:pPr>
        <w:pStyle w:val="3"/>
      </w:pPr>
      <w:bookmarkStart w:id="142" w:name="_Toc90558583"/>
      <w:r>
        <w:rPr>
          <w:rFonts w:hint="eastAsia" w:cs="仿宋"/>
        </w:rPr>
        <w:t>附图</w:t>
      </w:r>
      <w:r>
        <w:t>11-4</w:t>
      </w:r>
      <w:r>
        <w:rPr>
          <w:rFonts w:hint="eastAsia" w:cs="仿宋"/>
        </w:rPr>
        <w:t>康平县畜禽粪污转运及集中处理中心建设布局图</w:t>
      </w:r>
      <w:bookmarkEnd w:id="142"/>
    </w:p>
    <w:p>
      <w:pPr>
        <w:adjustRightInd w:val="0"/>
        <w:snapToGrid w:val="0"/>
        <w:ind w:firstLine="0" w:firstLineChars="0"/>
        <w:jc w:val="center"/>
      </w:pPr>
      <w:r>
        <w:pict>
          <v:shape id="_x0000_i1057" o:spt="75" type="#_x0000_t75" style="height:365.25pt;width:487.5pt;" filled="f" o:preferrelative="t" stroked="f" coordsize="21600,21600">
            <v:path/>
            <v:fill on="f" focussize="0,0"/>
            <v:stroke on="f" joinstyle="miter"/>
            <v:imagedata r:id="rId44" o:title=""/>
            <o:lock v:ext="edit" aspectratio="t"/>
            <w10:wrap type="none"/>
            <w10:anchorlock/>
          </v:shape>
        </w:pict>
      </w:r>
    </w:p>
    <w:p>
      <w:pPr>
        <w:pStyle w:val="3"/>
      </w:pPr>
      <w:bookmarkStart w:id="143" w:name="_Toc90558584"/>
      <w:r>
        <w:rPr>
          <w:rFonts w:hint="eastAsia" w:cs="仿宋"/>
        </w:rPr>
        <w:t>附图</w:t>
      </w:r>
      <w:r>
        <w:t>11-5</w:t>
      </w:r>
      <w:r>
        <w:rPr>
          <w:rFonts w:hint="eastAsia" w:cs="仿宋"/>
        </w:rPr>
        <w:t>法库县畜禽粪污转运及集中处理中心建设布局图</w:t>
      </w:r>
      <w:bookmarkEnd w:id="143"/>
    </w:p>
    <w:p>
      <w:pPr>
        <w:adjustRightInd w:val="0"/>
        <w:snapToGrid w:val="0"/>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58" o:spt="75" type="#_x0000_t75" style="height:356.25pt;width:479.25pt;" filled="f" o:preferrelative="t" stroked="f" coordsize="21600,21600">
            <v:path/>
            <v:fill on="f" focussize="0,0"/>
            <v:stroke on="f" joinstyle="miter"/>
            <v:imagedata r:id="rId45" o:title=""/>
            <o:lock v:ext="edit" aspectratio="t"/>
            <w10:wrap type="none"/>
            <w10:anchorlock/>
          </v:shape>
        </w:pict>
      </w:r>
    </w:p>
    <w:p>
      <w:pPr>
        <w:pStyle w:val="3"/>
      </w:pPr>
      <w:bookmarkStart w:id="144" w:name="_Toc90558585"/>
      <w:r>
        <w:rPr>
          <w:rFonts w:hint="eastAsia" w:cs="仿宋"/>
        </w:rPr>
        <w:t>附图</w:t>
      </w:r>
      <w:r>
        <w:t xml:space="preserve">12 </w:t>
      </w:r>
      <w:bookmarkStart w:id="145" w:name="_Hlk83737019"/>
      <w:r>
        <w:rPr>
          <w:rFonts w:hint="eastAsia" w:cs="仿宋"/>
        </w:rPr>
        <w:t>种养结合粪污定向消纳空间布局图</w:t>
      </w:r>
      <w:bookmarkEnd w:id="144"/>
      <w:bookmarkEnd w:id="145"/>
    </w:p>
    <w:p>
      <w:pPr>
        <w:adjustRightInd w:val="0"/>
        <w:snapToGrid w:val="0"/>
        <w:ind w:firstLine="0" w:firstLineChars="0"/>
        <w:jc w:val="center"/>
      </w:pPr>
      <w:r>
        <w:pict>
          <v:shape id="_x0000_i1059" o:spt="75" type="#_x0000_t75" style="height:581.25pt;width:436.5pt;" filled="f" o:preferrelative="t" stroked="f" coordsize="21600,21600">
            <v:path/>
            <v:fill on="f" focussize="0,0"/>
            <v:stroke on="f" joinstyle="miter"/>
            <v:imagedata r:id="rId46" o:title=""/>
            <o:lock v:ext="edit" aspectratio="t"/>
            <w10:wrap type="none"/>
            <w10:anchorlock/>
          </v:shape>
        </w:pict>
      </w:r>
    </w:p>
    <w:p>
      <w:pPr>
        <w:widowControl/>
        <w:spacing w:line="240" w:lineRule="auto"/>
        <w:ind w:firstLine="0" w:firstLineChars="0"/>
        <w:jc w:val="left"/>
      </w:pPr>
    </w:p>
    <w:p>
      <w:pPr>
        <w:widowControl/>
        <w:spacing w:line="240" w:lineRule="auto"/>
        <w:ind w:firstLine="0" w:firstLineChars="0"/>
        <w:jc w:val="left"/>
      </w:pPr>
    </w:p>
    <w:p>
      <w:pPr>
        <w:pStyle w:val="3"/>
      </w:pPr>
      <w:bookmarkStart w:id="146" w:name="_Toc90558586"/>
      <w:r>
        <w:rPr>
          <w:rFonts w:hint="eastAsia" w:cs="仿宋"/>
        </w:rPr>
        <w:t>附图</w:t>
      </w:r>
      <w:r>
        <w:t>12-1</w:t>
      </w:r>
      <w:r>
        <w:rPr>
          <w:rFonts w:hint="eastAsia" w:cs="仿宋"/>
        </w:rPr>
        <w:t>浑南区种养结合粪污定向消纳空间布局图</w:t>
      </w:r>
      <w:bookmarkEnd w:id="146"/>
    </w:p>
    <w:p>
      <w:pPr>
        <w:adjustRightInd w:val="0"/>
        <w:snapToGrid w:val="0"/>
        <w:ind w:firstLine="0" w:firstLineChars="0"/>
        <w:jc w:val="center"/>
        <w:sectPr>
          <w:pgSz w:w="11906" w:h="16838"/>
          <w:pgMar w:top="1440" w:right="1800" w:bottom="1440" w:left="1800" w:header="851" w:footer="992" w:gutter="0"/>
          <w:cols w:space="425" w:num="1"/>
          <w:docGrid w:type="lines" w:linePitch="381" w:charSpace="0"/>
        </w:sectPr>
      </w:pPr>
      <w:r>
        <w:pict>
          <v:shape id="_x0000_i1060" o:spt="75" type="#_x0000_t75" style="height:552.75pt;width:411pt;" filled="f" o:preferrelative="t" stroked="f" coordsize="21600,21600">
            <v:path/>
            <v:fill on="f" focussize="0,0"/>
            <v:stroke on="f" joinstyle="miter"/>
            <v:imagedata r:id="rId47" o:title=""/>
            <o:lock v:ext="edit" aspectratio="t"/>
            <w10:wrap type="none"/>
            <w10:anchorlock/>
          </v:shape>
        </w:pict>
      </w:r>
    </w:p>
    <w:p>
      <w:pPr>
        <w:pStyle w:val="3"/>
      </w:pPr>
      <w:bookmarkStart w:id="147" w:name="_Toc90558587"/>
      <w:r>
        <w:rPr>
          <w:rFonts w:hint="eastAsia" w:cs="仿宋"/>
        </w:rPr>
        <w:t>附图</w:t>
      </w:r>
      <w:r>
        <w:t>12-2</w:t>
      </w:r>
      <w:r>
        <w:rPr>
          <w:rFonts w:hint="eastAsia" w:cs="仿宋"/>
        </w:rPr>
        <w:t>沈北新区种养结合粪污定向消纳空间布局图</w:t>
      </w:r>
      <w:bookmarkEnd w:id="147"/>
    </w:p>
    <w:p>
      <w:pPr>
        <w:adjustRightInd w:val="0"/>
        <w:snapToGrid w:val="0"/>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61" o:spt="75" type="#_x0000_t75" style="height:342.75pt;width:457.5pt;" filled="f" o:preferrelative="t" stroked="f" coordsize="21600,21600">
            <v:path/>
            <v:fill on="f" focussize="0,0"/>
            <v:stroke on="f" joinstyle="miter"/>
            <v:imagedata r:id="rId48" o:title=""/>
            <o:lock v:ext="edit" aspectratio="t"/>
            <w10:wrap type="none"/>
            <w10:anchorlock/>
          </v:shape>
        </w:pict>
      </w:r>
    </w:p>
    <w:p>
      <w:pPr>
        <w:pStyle w:val="3"/>
      </w:pPr>
      <w:bookmarkStart w:id="148" w:name="_Toc90558588"/>
      <w:r>
        <w:rPr>
          <w:rFonts w:hint="eastAsia" w:cs="仿宋"/>
        </w:rPr>
        <w:t>附图</w:t>
      </w:r>
      <w:r>
        <w:t>12-3</w:t>
      </w:r>
      <w:r>
        <w:rPr>
          <w:rFonts w:hint="eastAsia" w:cs="仿宋"/>
        </w:rPr>
        <w:t>于洪区种养结合粪污定向消纳空间布局图</w:t>
      </w:r>
      <w:bookmarkEnd w:id="148"/>
    </w:p>
    <w:p>
      <w:pPr>
        <w:ind w:left="840" w:hanging="840" w:firstLineChars="0"/>
        <w:jc w:val="center"/>
        <w:sectPr>
          <w:pgSz w:w="11906" w:h="16838"/>
          <w:pgMar w:top="1440" w:right="1800" w:bottom="1440" w:left="1800" w:header="851" w:footer="992" w:gutter="0"/>
          <w:cols w:space="425" w:num="1"/>
          <w:docGrid w:type="lines" w:linePitch="381" w:charSpace="0"/>
        </w:sectPr>
      </w:pPr>
      <w:r>
        <w:pict>
          <v:shape id="_x0000_i1062" o:spt="75" type="#_x0000_t75" style="height:575.25pt;width:435pt;" filled="f" o:preferrelative="t" stroked="f" coordsize="21600,21600">
            <v:path/>
            <v:fill on="f" focussize="0,0"/>
            <v:stroke on="f" joinstyle="miter"/>
            <v:imagedata r:id="rId49" o:title=""/>
            <o:lock v:ext="edit" aspectratio="t"/>
            <w10:wrap type="none"/>
            <w10:anchorlock/>
          </v:shape>
        </w:pict>
      </w:r>
    </w:p>
    <w:p>
      <w:pPr>
        <w:pStyle w:val="3"/>
      </w:pPr>
      <w:bookmarkStart w:id="149" w:name="_Toc90558589"/>
      <w:r>
        <w:rPr>
          <w:rFonts w:hint="eastAsia" w:cs="仿宋"/>
        </w:rPr>
        <w:t>附图</w:t>
      </w:r>
      <w:r>
        <w:t>12-4</w:t>
      </w:r>
      <w:r>
        <w:rPr>
          <w:rFonts w:hint="eastAsia" w:cs="仿宋"/>
        </w:rPr>
        <w:t>铁西区种养结合粪污定向消纳空间布局图</w:t>
      </w:r>
      <w:bookmarkEnd w:id="149"/>
    </w:p>
    <w:p>
      <w:pPr>
        <w:adjustRightInd w:val="0"/>
        <w:snapToGrid w:val="0"/>
        <w:ind w:firstLine="0" w:firstLineChars="0"/>
        <w:jc w:val="center"/>
      </w:pPr>
      <w:r>
        <w:pict>
          <v:shape id="_x0000_i1063" o:spt="75" type="#_x0000_t75" style="height:353.25pt;width:466.5pt;" filled="f" o:preferrelative="t" stroked="f" coordsize="21600,21600">
            <v:path/>
            <v:fill on="f" focussize="0,0"/>
            <v:stroke on="f" joinstyle="miter"/>
            <v:imagedata r:id="rId50" o:title=""/>
            <o:lock v:ext="edit" aspectratio="t"/>
            <w10:wrap type="none"/>
            <w10:anchorlock/>
          </v:shape>
        </w:pict>
      </w:r>
    </w:p>
    <w:p>
      <w:pPr>
        <w:pStyle w:val="3"/>
      </w:pPr>
      <w:bookmarkStart w:id="150" w:name="_Toc90558590"/>
      <w:r>
        <w:rPr>
          <w:rFonts w:hint="eastAsia" w:cs="仿宋"/>
        </w:rPr>
        <w:t>附图</w:t>
      </w:r>
      <w:r>
        <w:t>12-5</w:t>
      </w:r>
      <w:r>
        <w:rPr>
          <w:rFonts w:hint="eastAsia" w:cs="仿宋"/>
        </w:rPr>
        <w:t>苏家屯区种养结合粪污定向消纳空间布局图</w:t>
      </w:r>
      <w:bookmarkEnd w:id="150"/>
    </w:p>
    <w:p>
      <w:pPr>
        <w:adjustRightInd w:val="0"/>
        <w:snapToGrid w:val="0"/>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64" o:spt="75" type="#_x0000_t75" style="height:357pt;width:475.5pt;" filled="f" o:preferrelative="t" stroked="f" coordsize="21600,21600">
            <v:path/>
            <v:fill on="f" focussize="0,0"/>
            <v:stroke on="f" joinstyle="miter"/>
            <v:imagedata r:id="rId51" o:title=""/>
            <o:lock v:ext="edit" aspectratio="t"/>
            <w10:wrap type="none"/>
            <w10:anchorlock/>
          </v:shape>
        </w:pict>
      </w:r>
    </w:p>
    <w:p>
      <w:pPr>
        <w:pStyle w:val="3"/>
      </w:pPr>
      <w:bookmarkStart w:id="151" w:name="_Toc90558591"/>
      <w:r>
        <w:rPr>
          <w:rFonts w:hint="eastAsia" w:cs="仿宋"/>
        </w:rPr>
        <w:t>附图</w:t>
      </w:r>
      <w:r>
        <w:t>12-6</w:t>
      </w:r>
      <w:r>
        <w:rPr>
          <w:rFonts w:hint="eastAsia" w:cs="仿宋"/>
        </w:rPr>
        <w:t>辽中区种养结合粪污定向消纳空间布局图</w:t>
      </w:r>
      <w:bookmarkEnd w:id="151"/>
    </w:p>
    <w:p>
      <w:pPr>
        <w:adjustRightInd w:val="0"/>
        <w:snapToGrid w:val="0"/>
        <w:ind w:firstLine="0" w:firstLineChars="0"/>
        <w:jc w:val="center"/>
        <w:sectPr>
          <w:pgSz w:w="11906" w:h="16838"/>
          <w:pgMar w:top="1440" w:right="1800" w:bottom="1440" w:left="1800" w:header="851" w:footer="992" w:gutter="0"/>
          <w:cols w:space="425" w:num="1"/>
          <w:docGrid w:type="lines" w:linePitch="381" w:charSpace="0"/>
        </w:sectPr>
      </w:pPr>
      <w:r>
        <w:pict>
          <v:shape id="_x0000_i1065" o:spt="75" type="#_x0000_t75" style="height:565.5pt;width:419.25pt;" filled="f" o:preferrelative="t" stroked="f" coordsize="21600,21600">
            <v:path/>
            <v:fill on="f" focussize="0,0"/>
            <v:stroke on="f" joinstyle="miter"/>
            <v:imagedata r:id="rId52" o:title=""/>
            <o:lock v:ext="edit" aspectratio="t"/>
            <w10:wrap type="none"/>
            <w10:anchorlock/>
          </v:shape>
        </w:pict>
      </w:r>
    </w:p>
    <w:p>
      <w:pPr>
        <w:pStyle w:val="3"/>
      </w:pPr>
      <w:bookmarkStart w:id="152" w:name="_Toc90558592"/>
      <w:r>
        <w:rPr>
          <w:rFonts w:hint="eastAsia" w:cs="仿宋"/>
        </w:rPr>
        <w:t>附图</w:t>
      </w:r>
      <w:r>
        <w:t>12-7</w:t>
      </w:r>
      <w:r>
        <w:rPr>
          <w:rFonts w:hint="eastAsia" w:cs="仿宋"/>
        </w:rPr>
        <w:t>新民市种养结合粪污定向消纳空间布局图</w:t>
      </w:r>
      <w:bookmarkEnd w:id="152"/>
    </w:p>
    <w:p>
      <w:pPr>
        <w:adjustRightInd w:val="0"/>
        <w:snapToGrid w:val="0"/>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66" o:spt="75" type="#_x0000_t75" style="height:343.5pt;width:462pt;" filled="f" o:preferrelative="t" stroked="f" coordsize="21600,21600">
            <v:path/>
            <v:fill on="f" focussize="0,0"/>
            <v:stroke on="f" joinstyle="miter"/>
            <v:imagedata r:id="rId53" o:title=""/>
            <o:lock v:ext="edit" aspectratio="t"/>
            <w10:wrap type="none"/>
            <w10:anchorlock/>
          </v:shape>
        </w:pict>
      </w:r>
    </w:p>
    <w:p>
      <w:pPr>
        <w:pStyle w:val="3"/>
      </w:pPr>
      <w:bookmarkStart w:id="153" w:name="_Toc90558593"/>
      <w:r>
        <w:rPr>
          <w:rFonts w:hint="eastAsia" w:cs="仿宋"/>
        </w:rPr>
        <w:t>附图</w:t>
      </w:r>
      <w:r>
        <w:t>12-8</w:t>
      </w:r>
      <w:r>
        <w:rPr>
          <w:rFonts w:hint="eastAsia" w:cs="仿宋"/>
        </w:rPr>
        <w:t>康平县种养结合粪污定向消纳空间布局图</w:t>
      </w:r>
      <w:bookmarkEnd w:id="153"/>
    </w:p>
    <w:p>
      <w:pPr>
        <w:adjustRightInd w:val="0"/>
        <w:snapToGrid w:val="0"/>
        <w:ind w:firstLine="0" w:firstLineChars="0"/>
        <w:jc w:val="center"/>
      </w:pPr>
      <w:r>
        <w:pict>
          <v:shape id="_x0000_i1067" o:spt="75" type="#_x0000_t75" style="height:354.75pt;width:472.5pt;" filled="f" o:preferrelative="t" stroked="f" coordsize="21600,21600">
            <v:path/>
            <v:fill on="f" focussize="0,0"/>
            <v:stroke on="f" joinstyle="miter"/>
            <v:imagedata r:id="rId54" o:title=""/>
            <o:lock v:ext="edit" aspectratio="t"/>
            <w10:wrap type="none"/>
            <w10:anchorlock/>
          </v:shape>
        </w:pict>
      </w:r>
    </w:p>
    <w:p>
      <w:pPr>
        <w:pStyle w:val="3"/>
      </w:pPr>
      <w:bookmarkStart w:id="154" w:name="_Toc90558594"/>
      <w:r>
        <w:rPr>
          <w:rFonts w:hint="eastAsia" w:cs="仿宋"/>
        </w:rPr>
        <w:t>附图</w:t>
      </w:r>
      <w:r>
        <w:t>12-9</w:t>
      </w:r>
      <w:r>
        <w:rPr>
          <w:rFonts w:hint="eastAsia" w:cs="仿宋"/>
        </w:rPr>
        <w:t>法库县种养结合粪污定向消纳空间布局图</w:t>
      </w:r>
      <w:bookmarkEnd w:id="154"/>
    </w:p>
    <w:p>
      <w:pPr>
        <w:adjustRightInd w:val="0"/>
        <w:snapToGrid w:val="0"/>
        <w:spacing w:line="240" w:lineRule="auto"/>
        <w:ind w:firstLine="0" w:firstLineChars="0"/>
        <w:jc w:val="center"/>
        <w:sectPr>
          <w:pgSz w:w="16838" w:h="11906" w:orient="landscape"/>
          <w:pgMar w:top="1800" w:right="1440" w:bottom="1800" w:left="1440" w:header="851" w:footer="992" w:gutter="0"/>
          <w:cols w:space="425" w:num="1"/>
          <w:docGrid w:type="lines" w:linePitch="381" w:charSpace="0"/>
        </w:sectPr>
      </w:pPr>
      <w:r>
        <w:pict>
          <v:shape id="_x0000_i1068" o:spt="75" type="#_x0000_t75" style="height:360.75pt;width:485.25pt;" filled="f" o:preferrelative="t" stroked="f" coordsize="21600,21600">
            <v:path/>
            <v:fill on="f" focussize="0,0"/>
            <v:stroke on="f" joinstyle="miter"/>
            <v:imagedata r:id="rId55" o:title=""/>
            <o:lock v:ext="edit" aspectratio="t"/>
            <w10:wrap type="none"/>
            <w10:anchorlock/>
          </v:shape>
        </w:pict>
      </w:r>
    </w:p>
    <w:p>
      <w:pPr>
        <w:pStyle w:val="3"/>
      </w:pPr>
      <w:bookmarkStart w:id="155" w:name="_Toc90558595"/>
      <w:r>
        <w:rPr>
          <w:rFonts w:hint="eastAsia" w:cs="仿宋"/>
        </w:rPr>
        <w:t>附图</w:t>
      </w:r>
      <w:r>
        <w:t xml:space="preserve">13 </w:t>
      </w:r>
      <w:r>
        <w:rPr>
          <w:rFonts w:hint="eastAsia" w:cs="仿宋"/>
        </w:rPr>
        <w:t>粪肥还田利用田间配套设施建设布局图</w:t>
      </w:r>
      <w:bookmarkEnd w:id="155"/>
    </w:p>
    <w:p>
      <w:pPr>
        <w:adjustRightInd w:val="0"/>
        <w:snapToGrid w:val="0"/>
        <w:ind w:firstLine="0" w:firstLineChars="0"/>
      </w:pPr>
      <w:r>
        <w:pict>
          <v:shape id="_x0000_i1069" o:spt="75" type="#_x0000_t75" style="height:603pt;width:453pt;" filled="f" o:preferrelative="t" stroked="f" coordsize="21600,21600">
            <v:path/>
            <v:fill on="f" focussize="0,0"/>
            <v:stroke on="f" joinstyle="miter"/>
            <v:imagedata r:id="rId56" o:title=""/>
            <o:lock v:ext="edit" aspectratio="t"/>
            <w10:wrap type="none"/>
            <w10:anchorlock/>
          </v:shape>
        </w:pict>
      </w:r>
    </w:p>
    <w:p>
      <w:pPr>
        <w:widowControl/>
        <w:spacing w:line="240" w:lineRule="auto"/>
        <w:ind w:firstLine="0" w:firstLineChars="0"/>
        <w:jc w:val="left"/>
        <w:rPr>
          <w:b/>
          <w:bCs/>
          <w:sz w:val="30"/>
          <w:szCs w:val="30"/>
        </w:rPr>
      </w:pPr>
    </w:p>
    <w:sectPr>
      <w:pgSz w:w="11906" w:h="16838"/>
      <w:pgMar w:top="1440" w:right="1080" w:bottom="1440" w:left="1080" w:header="851" w:footer="992" w:gutter="0"/>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font>
  <w:font w:name="华文楷体">
    <w:altName w:val="宋体"/>
    <w:panose1 w:val="02010600040101010101"/>
    <w:charset w:val="86"/>
    <w:family w:val="auto"/>
    <w:pitch w:val="default"/>
    <w:sig w:usb0="00000000" w:usb1="00000000" w:usb2="00000010" w:usb3="00000000" w:csb0="0004009F" w:csb1="00000000"/>
  </w:font>
  <w:font w:name="仿宋_GB2312">
    <w:altName w:val="仿宋"/>
    <w:panose1 w:val="02010609030101010101"/>
    <w:charset w:val="86"/>
    <w:family w:val="modern"/>
    <w:pitch w:val="default"/>
    <w:sig w:usb0="00000000" w:usb1="00000000" w:usb2="00000010" w:usb3="00000000" w:csb0="00040000" w:csb1="00000000"/>
  </w:font>
  <w:font w:name="方正仿宋简体">
    <w:altName w:val="黑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1680"/>
      <w:jc w:val="center"/>
    </w:pPr>
    <w:r>
      <w:fldChar w:fldCharType="begin"/>
    </w:r>
    <w:r>
      <w:instrText xml:space="preserve">PAGE   \* MERGEFORMAT</w:instrText>
    </w:r>
    <w:r>
      <w:fldChar w:fldCharType="separate"/>
    </w:r>
    <w:r>
      <w:rPr>
        <w:lang w:val="zh-CN"/>
      </w:rPr>
      <w:t>ii</w:t>
    </w:r>
    <w:r>
      <w:rPr>
        <w:lang w:val="zh-CN"/>
      </w:rPr>
      <w:fldChar w:fldCharType="end"/>
    </w:r>
  </w:p>
  <w:p>
    <w:pPr>
      <w:pStyle w:val="13"/>
      <w:ind w:firstLine="316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16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1680"/>
      <w:jc w:val="center"/>
    </w:pPr>
    <w:r>
      <w:fldChar w:fldCharType="begin"/>
    </w:r>
    <w:r>
      <w:instrText xml:space="preserve">PAGE   \* MERGEFORMAT</w:instrText>
    </w:r>
    <w:r>
      <w:fldChar w:fldCharType="separate"/>
    </w:r>
    <w:r>
      <w:rPr>
        <w:lang w:val="zh-CN"/>
      </w:rPr>
      <w:t>6</w:t>
    </w:r>
    <w:r>
      <w:rPr>
        <w:lang w:val="zh-CN"/>
      </w:rPr>
      <w:fldChar w:fldCharType="end"/>
    </w:r>
  </w:p>
  <w:p>
    <w:pPr>
      <w:pStyle w:val="13"/>
      <w:ind w:firstLine="316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ind w:firstLine="316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ind w:firstLine="316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ind w:firstLine="316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2"/>
    <w:multiLevelType w:val="multilevel"/>
    <w:tmpl w:val="0000001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64474275"/>
    <w:multiLevelType w:val="multilevel"/>
    <w:tmpl w:val="6447427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7E87603E"/>
    <w:multiLevelType w:val="multilevel"/>
    <w:tmpl w:val="7E87603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oNotHyphenateCaps/>
  <w:drawingGridHorizontalSpacing w:val="140"/>
  <w:drawingGridVerticalSpacing w:val="381"/>
  <w:displayHorizontalDrawingGridEvery w:val="0"/>
  <w:characterSpacingControl w:val="compressPunctuation"/>
  <w:noLineBreaksAfter w:lang="zh-CN" w:val="$([{£¥·‘“〈《「『【〔〖〝﹙﹛﹝＄（．［｛￡￥"/>
  <w:noLineBreaksBefore w:lang="zh-CN" w:val="!%),.:;&gt;?]}¢¨°·ˇˉ―‖’”…‰′″›℃∶、。〃〉》」』】〕〗〞︶︺︾﹀﹄﹚﹜﹞！＂％＇），．：；？］｀｜｝～￠"/>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jc1ZGFjNTE3MDEzZjc4M2M1NmRlNjBhMWRiMDIyYTEifQ=="/>
  </w:docVars>
  <w:rsids>
    <w:rsidRoot w:val="00D7582B"/>
    <w:rsid w:val="0000057E"/>
    <w:rsid w:val="0000169D"/>
    <w:rsid w:val="00003AC6"/>
    <w:rsid w:val="00004925"/>
    <w:rsid w:val="00004F14"/>
    <w:rsid w:val="00005154"/>
    <w:rsid w:val="00005DEC"/>
    <w:rsid w:val="00010240"/>
    <w:rsid w:val="000105AA"/>
    <w:rsid w:val="00011BC0"/>
    <w:rsid w:val="000131AE"/>
    <w:rsid w:val="000142C0"/>
    <w:rsid w:val="00014F9C"/>
    <w:rsid w:val="00015451"/>
    <w:rsid w:val="00017EB0"/>
    <w:rsid w:val="00020496"/>
    <w:rsid w:val="00020C38"/>
    <w:rsid w:val="00021B14"/>
    <w:rsid w:val="00022473"/>
    <w:rsid w:val="00022DC0"/>
    <w:rsid w:val="00025FEE"/>
    <w:rsid w:val="00030404"/>
    <w:rsid w:val="00031623"/>
    <w:rsid w:val="00031BD3"/>
    <w:rsid w:val="00031F1C"/>
    <w:rsid w:val="00033083"/>
    <w:rsid w:val="00033C02"/>
    <w:rsid w:val="00034C34"/>
    <w:rsid w:val="000357C8"/>
    <w:rsid w:val="0003683C"/>
    <w:rsid w:val="00036C45"/>
    <w:rsid w:val="00037E13"/>
    <w:rsid w:val="00037EA5"/>
    <w:rsid w:val="0004041D"/>
    <w:rsid w:val="0004117E"/>
    <w:rsid w:val="00041C17"/>
    <w:rsid w:val="00043376"/>
    <w:rsid w:val="000450C3"/>
    <w:rsid w:val="000452AE"/>
    <w:rsid w:val="000469ED"/>
    <w:rsid w:val="00047268"/>
    <w:rsid w:val="00047D81"/>
    <w:rsid w:val="000501C3"/>
    <w:rsid w:val="00050D6A"/>
    <w:rsid w:val="00050F9E"/>
    <w:rsid w:val="00053B15"/>
    <w:rsid w:val="000541D0"/>
    <w:rsid w:val="0005423F"/>
    <w:rsid w:val="000552B3"/>
    <w:rsid w:val="000552D3"/>
    <w:rsid w:val="00055F98"/>
    <w:rsid w:val="00056BD9"/>
    <w:rsid w:val="000574C0"/>
    <w:rsid w:val="00061EF6"/>
    <w:rsid w:val="00062554"/>
    <w:rsid w:val="00064FA4"/>
    <w:rsid w:val="00065345"/>
    <w:rsid w:val="000662C4"/>
    <w:rsid w:val="00067314"/>
    <w:rsid w:val="00067844"/>
    <w:rsid w:val="0007385D"/>
    <w:rsid w:val="00077644"/>
    <w:rsid w:val="00080826"/>
    <w:rsid w:val="00080DF3"/>
    <w:rsid w:val="000813EE"/>
    <w:rsid w:val="0008249D"/>
    <w:rsid w:val="00083269"/>
    <w:rsid w:val="0008336F"/>
    <w:rsid w:val="00083B0F"/>
    <w:rsid w:val="00085113"/>
    <w:rsid w:val="00086439"/>
    <w:rsid w:val="00091D06"/>
    <w:rsid w:val="00091E18"/>
    <w:rsid w:val="000938B0"/>
    <w:rsid w:val="00096411"/>
    <w:rsid w:val="00097F9A"/>
    <w:rsid w:val="000A0190"/>
    <w:rsid w:val="000A1168"/>
    <w:rsid w:val="000A1CB5"/>
    <w:rsid w:val="000A33DF"/>
    <w:rsid w:val="000A4AA5"/>
    <w:rsid w:val="000A7C9C"/>
    <w:rsid w:val="000B0265"/>
    <w:rsid w:val="000B2BDC"/>
    <w:rsid w:val="000B2E89"/>
    <w:rsid w:val="000B35B4"/>
    <w:rsid w:val="000B3EFA"/>
    <w:rsid w:val="000B6D1D"/>
    <w:rsid w:val="000C0612"/>
    <w:rsid w:val="000C1767"/>
    <w:rsid w:val="000C315C"/>
    <w:rsid w:val="000C3326"/>
    <w:rsid w:val="000C50BC"/>
    <w:rsid w:val="000C5A4E"/>
    <w:rsid w:val="000D2955"/>
    <w:rsid w:val="000D2F79"/>
    <w:rsid w:val="000D77A4"/>
    <w:rsid w:val="000E0F1C"/>
    <w:rsid w:val="000E14DF"/>
    <w:rsid w:val="000E1E10"/>
    <w:rsid w:val="000E2918"/>
    <w:rsid w:val="000E2D1A"/>
    <w:rsid w:val="000E379B"/>
    <w:rsid w:val="000E5006"/>
    <w:rsid w:val="000E68D8"/>
    <w:rsid w:val="000E6E10"/>
    <w:rsid w:val="000F2DE5"/>
    <w:rsid w:val="000F484F"/>
    <w:rsid w:val="000F52C0"/>
    <w:rsid w:val="000F7BF1"/>
    <w:rsid w:val="0010000F"/>
    <w:rsid w:val="00100F71"/>
    <w:rsid w:val="00110510"/>
    <w:rsid w:val="0011306F"/>
    <w:rsid w:val="00113181"/>
    <w:rsid w:val="0011346E"/>
    <w:rsid w:val="00114769"/>
    <w:rsid w:val="0011551E"/>
    <w:rsid w:val="00116278"/>
    <w:rsid w:val="00116A41"/>
    <w:rsid w:val="00116BFD"/>
    <w:rsid w:val="00120061"/>
    <w:rsid w:val="001239E2"/>
    <w:rsid w:val="001245C1"/>
    <w:rsid w:val="00124FFF"/>
    <w:rsid w:val="00127413"/>
    <w:rsid w:val="001335EB"/>
    <w:rsid w:val="0013535A"/>
    <w:rsid w:val="00135D4D"/>
    <w:rsid w:val="0013680D"/>
    <w:rsid w:val="00141018"/>
    <w:rsid w:val="001419EF"/>
    <w:rsid w:val="00141AED"/>
    <w:rsid w:val="00142C94"/>
    <w:rsid w:val="00143665"/>
    <w:rsid w:val="001436BC"/>
    <w:rsid w:val="00145C98"/>
    <w:rsid w:val="001466F7"/>
    <w:rsid w:val="00147DAE"/>
    <w:rsid w:val="00150725"/>
    <w:rsid w:val="00151B65"/>
    <w:rsid w:val="00151CAB"/>
    <w:rsid w:val="0015516B"/>
    <w:rsid w:val="001557CF"/>
    <w:rsid w:val="001579C7"/>
    <w:rsid w:val="00157B4D"/>
    <w:rsid w:val="00160940"/>
    <w:rsid w:val="00161851"/>
    <w:rsid w:val="00161E8D"/>
    <w:rsid w:val="001624F0"/>
    <w:rsid w:val="0016355E"/>
    <w:rsid w:val="00163F72"/>
    <w:rsid w:val="00164569"/>
    <w:rsid w:val="00167B21"/>
    <w:rsid w:val="00170CE0"/>
    <w:rsid w:val="00172B2F"/>
    <w:rsid w:val="00173D0E"/>
    <w:rsid w:val="00176B40"/>
    <w:rsid w:val="00176C26"/>
    <w:rsid w:val="00177E2C"/>
    <w:rsid w:val="00177ED1"/>
    <w:rsid w:val="00180115"/>
    <w:rsid w:val="00180571"/>
    <w:rsid w:val="0018088F"/>
    <w:rsid w:val="00181309"/>
    <w:rsid w:val="00181EDC"/>
    <w:rsid w:val="001821B2"/>
    <w:rsid w:val="001834E6"/>
    <w:rsid w:val="0018436F"/>
    <w:rsid w:val="001854E2"/>
    <w:rsid w:val="00185BCF"/>
    <w:rsid w:val="00185DCE"/>
    <w:rsid w:val="001864B3"/>
    <w:rsid w:val="001873C6"/>
    <w:rsid w:val="00187543"/>
    <w:rsid w:val="00190958"/>
    <w:rsid w:val="00191626"/>
    <w:rsid w:val="00192065"/>
    <w:rsid w:val="00192AAC"/>
    <w:rsid w:val="0019381E"/>
    <w:rsid w:val="00194E97"/>
    <w:rsid w:val="00194FDB"/>
    <w:rsid w:val="00196FC9"/>
    <w:rsid w:val="001A0B05"/>
    <w:rsid w:val="001A10DF"/>
    <w:rsid w:val="001A1204"/>
    <w:rsid w:val="001A1FFA"/>
    <w:rsid w:val="001A36DF"/>
    <w:rsid w:val="001A44A4"/>
    <w:rsid w:val="001A44E0"/>
    <w:rsid w:val="001A6305"/>
    <w:rsid w:val="001A6679"/>
    <w:rsid w:val="001B11F9"/>
    <w:rsid w:val="001B17B8"/>
    <w:rsid w:val="001B1DB0"/>
    <w:rsid w:val="001B2472"/>
    <w:rsid w:val="001B3359"/>
    <w:rsid w:val="001B3A61"/>
    <w:rsid w:val="001B4001"/>
    <w:rsid w:val="001B4A6B"/>
    <w:rsid w:val="001B61FC"/>
    <w:rsid w:val="001B6E89"/>
    <w:rsid w:val="001B735E"/>
    <w:rsid w:val="001B75EF"/>
    <w:rsid w:val="001B7895"/>
    <w:rsid w:val="001C0833"/>
    <w:rsid w:val="001C0884"/>
    <w:rsid w:val="001C16CF"/>
    <w:rsid w:val="001C1914"/>
    <w:rsid w:val="001C1A6D"/>
    <w:rsid w:val="001C35D9"/>
    <w:rsid w:val="001C45E4"/>
    <w:rsid w:val="001C4848"/>
    <w:rsid w:val="001C692A"/>
    <w:rsid w:val="001C704B"/>
    <w:rsid w:val="001C73D6"/>
    <w:rsid w:val="001D1203"/>
    <w:rsid w:val="001D1D96"/>
    <w:rsid w:val="001D3D47"/>
    <w:rsid w:val="001D481A"/>
    <w:rsid w:val="001D6107"/>
    <w:rsid w:val="001D79BC"/>
    <w:rsid w:val="001D7C1E"/>
    <w:rsid w:val="001E0238"/>
    <w:rsid w:val="001E1F7B"/>
    <w:rsid w:val="001E2F42"/>
    <w:rsid w:val="001E37BF"/>
    <w:rsid w:val="001E3D3D"/>
    <w:rsid w:val="001E3F9A"/>
    <w:rsid w:val="001E46E1"/>
    <w:rsid w:val="001E5CFF"/>
    <w:rsid w:val="001E678D"/>
    <w:rsid w:val="001E6A85"/>
    <w:rsid w:val="001E6DA6"/>
    <w:rsid w:val="001F15E3"/>
    <w:rsid w:val="001F1C30"/>
    <w:rsid w:val="001F2B33"/>
    <w:rsid w:val="001F2B64"/>
    <w:rsid w:val="001F3018"/>
    <w:rsid w:val="001F3954"/>
    <w:rsid w:val="001F552E"/>
    <w:rsid w:val="001F6382"/>
    <w:rsid w:val="0020142E"/>
    <w:rsid w:val="0020180D"/>
    <w:rsid w:val="0020290F"/>
    <w:rsid w:val="00202ED8"/>
    <w:rsid w:val="002041CA"/>
    <w:rsid w:val="0020495F"/>
    <w:rsid w:val="0020692A"/>
    <w:rsid w:val="00206C9D"/>
    <w:rsid w:val="00207191"/>
    <w:rsid w:val="0021029B"/>
    <w:rsid w:val="00212EB4"/>
    <w:rsid w:val="0021360D"/>
    <w:rsid w:val="00213B35"/>
    <w:rsid w:val="00214C95"/>
    <w:rsid w:val="00214E6D"/>
    <w:rsid w:val="00216E23"/>
    <w:rsid w:val="00222CBB"/>
    <w:rsid w:val="00222E2C"/>
    <w:rsid w:val="00223459"/>
    <w:rsid w:val="00225540"/>
    <w:rsid w:val="002257C2"/>
    <w:rsid w:val="00227012"/>
    <w:rsid w:val="00227570"/>
    <w:rsid w:val="00227C33"/>
    <w:rsid w:val="00230549"/>
    <w:rsid w:val="00230C41"/>
    <w:rsid w:val="0023146A"/>
    <w:rsid w:val="002314E0"/>
    <w:rsid w:val="002342AF"/>
    <w:rsid w:val="002350FE"/>
    <w:rsid w:val="00236FFC"/>
    <w:rsid w:val="002377B0"/>
    <w:rsid w:val="00237ADC"/>
    <w:rsid w:val="00241D4A"/>
    <w:rsid w:val="00241D8D"/>
    <w:rsid w:val="00242F10"/>
    <w:rsid w:val="002431FD"/>
    <w:rsid w:val="002457EC"/>
    <w:rsid w:val="00245CCA"/>
    <w:rsid w:val="00247817"/>
    <w:rsid w:val="00250C00"/>
    <w:rsid w:val="00254AE8"/>
    <w:rsid w:val="00255EC3"/>
    <w:rsid w:val="002566DA"/>
    <w:rsid w:val="00260FD4"/>
    <w:rsid w:val="00261E66"/>
    <w:rsid w:val="00262823"/>
    <w:rsid w:val="00264B7A"/>
    <w:rsid w:val="00265406"/>
    <w:rsid w:val="002656BB"/>
    <w:rsid w:val="00273DF5"/>
    <w:rsid w:val="00275DF3"/>
    <w:rsid w:val="00276D3D"/>
    <w:rsid w:val="002850C0"/>
    <w:rsid w:val="00286DFB"/>
    <w:rsid w:val="00286F39"/>
    <w:rsid w:val="00287805"/>
    <w:rsid w:val="002908F7"/>
    <w:rsid w:val="00291743"/>
    <w:rsid w:val="002918AE"/>
    <w:rsid w:val="0029218E"/>
    <w:rsid w:val="002924AE"/>
    <w:rsid w:val="002933AB"/>
    <w:rsid w:val="00294CC0"/>
    <w:rsid w:val="00296F5A"/>
    <w:rsid w:val="0029744C"/>
    <w:rsid w:val="002A1B29"/>
    <w:rsid w:val="002A2718"/>
    <w:rsid w:val="002A4F25"/>
    <w:rsid w:val="002A6003"/>
    <w:rsid w:val="002A6E1D"/>
    <w:rsid w:val="002B1D50"/>
    <w:rsid w:val="002B526A"/>
    <w:rsid w:val="002B6815"/>
    <w:rsid w:val="002B6944"/>
    <w:rsid w:val="002B7547"/>
    <w:rsid w:val="002C24F4"/>
    <w:rsid w:val="002C28C5"/>
    <w:rsid w:val="002C46DC"/>
    <w:rsid w:val="002C4D8A"/>
    <w:rsid w:val="002C5E2B"/>
    <w:rsid w:val="002C67E9"/>
    <w:rsid w:val="002C6993"/>
    <w:rsid w:val="002C770B"/>
    <w:rsid w:val="002C7A69"/>
    <w:rsid w:val="002D0335"/>
    <w:rsid w:val="002D0B38"/>
    <w:rsid w:val="002D2478"/>
    <w:rsid w:val="002D2CAB"/>
    <w:rsid w:val="002D2E52"/>
    <w:rsid w:val="002D4B76"/>
    <w:rsid w:val="002D621F"/>
    <w:rsid w:val="002D6298"/>
    <w:rsid w:val="002D6B37"/>
    <w:rsid w:val="002E1F17"/>
    <w:rsid w:val="002E652E"/>
    <w:rsid w:val="002E737B"/>
    <w:rsid w:val="002F08CC"/>
    <w:rsid w:val="002F30C5"/>
    <w:rsid w:val="002F3146"/>
    <w:rsid w:val="002F3325"/>
    <w:rsid w:val="00300668"/>
    <w:rsid w:val="003008CB"/>
    <w:rsid w:val="00302242"/>
    <w:rsid w:val="00302995"/>
    <w:rsid w:val="00311193"/>
    <w:rsid w:val="00311B8A"/>
    <w:rsid w:val="00311C2E"/>
    <w:rsid w:val="00316CB6"/>
    <w:rsid w:val="003172DC"/>
    <w:rsid w:val="003228BA"/>
    <w:rsid w:val="003231E7"/>
    <w:rsid w:val="00330210"/>
    <w:rsid w:val="0033104F"/>
    <w:rsid w:val="0033352E"/>
    <w:rsid w:val="0033518F"/>
    <w:rsid w:val="00335C7F"/>
    <w:rsid w:val="0033698A"/>
    <w:rsid w:val="003413E5"/>
    <w:rsid w:val="00342E23"/>
    <w:rsid w:val="003454DF"/>
    <w:rsid w:val="003455DB"/>
    <w:rsid w:val="0034568F"/>
    <w:rsid w:val="00345711"/>
    <w:rsid w:val="003460A5"/>
    <w:rsid w:val="00347329"/>
    <w:rsid w:val="00350D99"/>
    <w:rsid w:val="00351671"/>
    <w:rsid w:val="00351E9F"/>
    <w:rsid w:val="00352392"/>
    <w:rsid w:val="0035290C"/>
    <w:rsid w:val="00356CB3"/>
    <w:rsid w:val="003624D4"/>
    <w:rsid w:val="00364D9B"/>
    <w:rsid w:val="00367AFB"/>
    <w:rsid w:val="00373051"/>
    <w:rsid w:val="003759EF"/>
    <w:rsid w:val="003761E2"/>
    <w:rsid w:val="00376878"/>
    <w:rsid w:val="0037733B"/>
    <w:rsid w:val="0038009E"/>
    <w:rsid w:val="00380356"/>
    <w:rsid w:val="00381EE6"/>
    <w:rsid w:val="00382E44"/>
    <w:rsid w:val="003835AF"/>
    <w:rsid w:val="00384C99"/>
    <w:rsid w:val="00387BD1"/>
    <w:rsid w:val="00390B0D"/>
    <w:rsid w:val="00390B81"/>
    <w:rsid w:val="00390E41"/>
    <w:rsid w:val="0039241B"/>
    <w:rsid w:val="00394D15"/>
    <w:rsid w:val="003952F8"/>
    <w:rsid w:val="00397E19"/>
    <w:rsid w:val="003A13F8"/>
    <w:rsid w:val="003A1FE6"/>
    <w:rsid w:val="003A22AB"/>
    <w:rsid w:val="003A2A62"/>
    <w:rsid w:val="003A3169"/>
    <w:rsid w:val="003A6727"/>
    <w:rsid w:val="003B0E62"/>
    <w:rsid w:val="003B506B"/>
    <w:rsid w:val="003C0065"/>
    <w:rsid w:val="003C15E1"/>
    <w:rsid w:val="003C6161"/>
    <w:rsid w:val="003D2714"/>
    <w:rsid w:val="003D2B52"/>
    <w:rsid w:val="003D6563"/>
    <w:rsid w:val="003D6954"/>
    <w:rsid w:val="003E05D6"/>
    <w:rsid w:val="003E07F3"/>
    <w:rsid w:val="003E31C9"/>
    <w:rsid w:val="003E31D3"/>
    <w:rsid w:val="003E37F5"/>
    <w:rsid w:val="003E47E3"/>
    <w:rsid w:val="003E66C0"/>
    <w:rsid w:val="003E6B4E"/>
    <w:rsid w:val="003F2616"/>
    <w:rsid w:val="003F399C"/>
    <w:rsid w:val="003F4836"/>
    <w:rsid w:val="003F735D"/>
    <w:rsid w:val="003F7784"/>
    <w:rsid w:val="004003BD"/>
    <w:rsid w:val="004057D2"/>
    <w:rsid w:val="004063D7"/>
    <w:rsid w:val="004076A9"/>
    <w:rsid w:val="00413561"/>
    <w:rsid w:val="004148F0"/>
    <w:rsid w:val="00415076"/>
    <w:rsid w:val="004150BD"/>
    <w:rsid w:val="00415CF8"/>
    <w:rsid w:val="00415F1C"/>
    <w:rsid w:val="00417C1C"/>
    <w:rsid w:val="00417D67"/>
    <w:rsid w:val="004211DD"/>
    <w:rsid w:val="00421BE9"/>
    <w:rsid w:val="004238D6"/>
    <w:rsid w:val="0042687B"/>
    <w:rsid w:val="00430177"/>
    <w:rsid w:val="00430AFD"/>
    <w:rsid w:val="00430B83"/>
    <w:rsid w:val="0043138B"/>
    <w:rsid w:val="00432240"/>
    <w:rsid w:val="00432BCD"/>
    <w:rsid w:val="004331D3"/>
    <w:rsid w:val="004364AB"/>
    <w:rsid w:val="00437EA6"/>
    <w:rsid w:val="004408AB"/>
    <w:rsid w:val="00441EA4"/>
    <w:rsid w:val="0044209E"/>
    <w:rsid w:val="00442559"/>
    <w:rsid w:val="00445BA8"/>
    <w:rsid w:val="00450994"/>
    <w:rsid w:val="00452517"/>
    <w:rsid w:val="0045254C"/>
    <w:rsid w:val="00452B01"/>
    <w:rsid w:val="00452D3B"/>
    <w:rsid w:val="00452ED5"/>
    <w:rsid w:val="004606E3"/>
    <w:rsid w:val="00465B74"/>
    <w:rsid w:val="00466B68"/>
    <w:rsid w:val="00467435"/>
    <w:rsid w:val="00471E5B"/>
    <w:rsid w:val="004724D6"/>
    <w:rsid w:val="00477FC3"/>
    <w:rsid w:val="004809C3"/>
    <w:rsid w:val="004853F0"/>
    <w:rsid w:val="00485ABD"/>
    <w:rsid w:val="00486DDC"/>
    <w:rsid w:val="00487165"/>
    <w:rsid w:val="00487307"/>
    <w:rsid w:val="0048799A"/>
    <w:rsid w:val="00487B82"/>
    <w:rsid w:val="00490294"/>
    <w:rsid w:val="00491C9B"/>
    <w:rsid w:val="00493342"/>
    <w:rsid w:val="00495BA0"/>
    <w:rsid w:val="00496A7A"/>
    <w:rsid w:val="004A2BD3"/>
    <w:rsid w:val="004A35D6"/>
    <w:rsid w:val="004A3CEA"/>
    <w:rsid w:val="004A588D"/>
    <w:rsid w:val="004A5C4B"/>
    <w:rsid w:val="004A5F96"/>
    <w:rsid w:val="004A63C5"/>
    <w:rsid w:val="004A73A0"/>
    <w:rsid w:val="004A7454"/>
    <w:rsid w:val="004B02E9"/>
    <w:rsid w:val="004B40D9"/>
    <w:rsid w:val="004B4CB7"/>
    <w:rsid w:val="004B7CE7"/>
    <w:rsid w:val="004C1D44"/>
    <w:rsid w:val="004C25DB"/>
    <w:rsid w:val="004C771B"/>
    <w:rsid w:val="004D08E1"/>
    <w:rsid w:val="004D1A0E"/>
    <w:rsid w:val="004D1D71"/>
    <w:rsid w:val="004D27A2"/>
    <w:rsid w:val="004D2958"/>
    <w:rsid w:val="004D4A3A"/>
    <w:rsid w:val="004D66C0"/>
    <w:rsid w:val="004D6D34"/>
    <w:rsid w:val="004E0499"/>
    <w:rsid w:val="004E1EFD"/>
    <w:rsid w:val="004E2295"/>
    <w:rsid w:val="004E32B2"/>
    <w:rsid w:val="004E3452"/>
    <w:rsid w:val="004E3760"/>
    <w:rsid w:val="004E5D39"/>
    <w:rsid w:val="004E68EF"/>
    <w:rsid w:val="004E7D38"/>
    <w:rsid w:val="004F09FF"/>
    <w:rsid w:val="004F4A73"/>
    <w:rsid w:val="004F532D"/>
    <w:rsid w:val="004F5BF3"/>
    <w:rsid w:val="004F6A22"/>
    <w:rsid w:val="004F6D9A"/>
    <w:rsid w:val="004F6F2B"/>
    <w:rsid w:val="004F7B9B"/>
    <w:rsid w:val="00500AEA"/>
    <w:rsid w:val="00501117"/>
    <w:rsid w:val="00502216"/>
    <w:rsid w:val="005027C1"/>
    <w:rsid w:val="0050422F"/>
    <w:rsid w:val="00510318"/>
    <w:rsid w:val="00511A06"/>
    <w:rsid w:val="00512354"/>
    <w:rsid w:val="005134C1"/>
    <w:rsid w:val="005135EA"/>
    <w:rsid w:val="005135F7"/>
    <w:rsid w:val="005143A4"/>
    <w:rsid w:val="00516E50"/>
    <w:rsid w:val="00522A52"/>
    <w:rsid w:val="00523A81"/>
    <w:rsid w:val="00523D54"/>
    <w:rsid w:val="00525360"/>
    <w:rsid w:val="00526E4B"/>
    <w:rsid w:val="005278E9"/>
    <w:rsid w:val="00527BAF"/>
    <w:rsid w:val="005300F8"/>
    <w:rsid w:val="005304C3"/>
    <w:rsid w:val="00531D66"/>
    <w:rsid w:val="00535989"/>
    <w:rsid w:val="00535D45"/>
    <w:rsid w:val="005364DD"/>
    <w:rsid w:val="00536B32"/>
    <w:rsid w:val="005370EC"/>
    <w:rsid w:val="005373A7"/>
    <w:rsid w:val="00537944"/>
    <w:rsid w:val="00540165"/>
    <w:rsid w:val="00540A77"/>
    <w:rsid w:val="00541503"/>
    <w:rsid w:val="005429AB"/>
    <w:rsid w:val="00543A34"/>
    <w:rsid w:val="00544FAA"/>
    <w:rsid w:val="00545113"/>
    <w:rsid w:val="00545995"/>
    <w:rsid w:val="00545D38"/>
    <w:rsid w:val="00545FEC"/>
    <w:rsid w:val="005464B8"/>
    <w:rsid w:val="00546A83"/>
    <w:rsid w:val="00550A54"/>
    <w:rsid w:val="00551F49"/>
    <w:rsid w:val="005539C5"/>
    <w:rsid w:val="00554734"/>
    <w:rsid w:val="005568B0"/>
    <w:rsid w:val="00556B7C"/>
    <w:rsid w:val="00560337"/>
    <w:rsid w:val="00561334"/>
    <w:rsid w:val="00562079"/>
    <w:rsid w:val="0056268E"/>
    <w:rsid w:val="00564CC0"/>
    <w:rsid w:val="00565186"/>
    <w:rsid w:val="005660EA"/>
    <w:rsid w:val="005671DA"/>
    <w:rsid w:val="00567554"/>
    <w:rsid w:val="0057186B"/>
    <w:rsid w:val="005718EA"/>
    <w:rsid w:val="00571E56"/>
    <w:rsid w:val="00572D91"/>
    <w:rsid w:val="005748D2"/>
    <w:rsid w:val="0057551E"/>
    <w:rsid w:val="00576405"/>
    <w:rsid w:val="00576A55"/>
    <w:rsid w:val="00577B30"/>
    <w:rsid w:val="005821E4"/>
    <w:rsid w:val="0058279E"/>
    <w:rsid w:val="005832B3"/>
    <w:rsid w:val="00584DDE"/>
    <w:rsid w:val="00586A9C"/>
    <w:rsid w:val="00587CC4"/>
    <w:rsid w:val="00590B73"/>
    <w:rsid w:val="00591237"/>
    <w:rsid w:val="005927D3"/>
    <w:rsid w:val="00592B08"/>
    <w:rsid w:val="0059343D"/>
    <w:rsid w:val="00596007"/>
    <w:rsid w:val="005967C8"/>
    <w:rsid w:val="005973C9"/>
    <w:rsid w:val="005A058F"/>
    <w:rsid w:val="005A0BA5"/>
    <w:rsid w:val="005A0D0C"/>
    <w:rsid w:val="005A16DB"/>
    <w:rsid w:val="005A4534"/>
    <w:rsid w:val="005A5100"/>
    <w:rsid w:val="005A6F7B"/>
    <w:rsid w:val="005A7A7A"/>
    <w:rsid w:val="005A7E5D"/>
    <w:rsid w:val="005B01D5"/>
    <w:rsid w:val="005B180D"/>
    <w:rsid w:val="005B21D9"/>
    <w:rsid w:val="005B2D8B"/>
    <w:rsid w:val="005B3723"/>
    <w:rsid w:val="005B46F6"/>
    <w:rsid w:val="005B7723"/>
    <w:rsid w:val="005C0F94"/>
    <w:rsid w:val="005C1834"/>
    <w:rsid w:val="005C2391"/>
    <w:rsid w:val="005C277C"/>
    <w:rsid w:val="005C2EC9"/>
    <w:rsid w:val="005C3C06"/>
    <w:rsid w:val="005D02F9"/>
    <w:rsid w:val="005D06A9"/>
    <w:rsid w:val="005D4342"/>
    <w:rsid w:val="005D51B2"/>
    <w:rsid w:val="005D5CEF"/>
    <w:rsid w:val="005D6135"/>
    <w:rsid w:val="005D64A5"/>
    <w:rsid w:val="005E1E92"/>
    <w:rsid w:val="005E219B"/>
    <w:rsid w:val="005E277C"/>
    <w:rsid w:val="005E3363"/>
    <w:rsid w:val="005E4B2B"/>
    <w:rsid w:val="005E6EC4"/>
    <w:rsid w:val="005E7312"/>
    <w:rsid w:val="005E7BA3"/>
    <w:rsid w:val="005F2332"/>
    <w:rsid w:val="005F30A8"/>
    <w:rsid w:val="005F5182"/>
    <w:rsid w:val="005F6CD4"/>
    <w:rsid w:val="006008DA"/>
    <w:rsid w:val="00602DAE"/>
    <w:rsid w:val="00604702"/>
    <w:rsid w:val="00604883"/>
    <w:rsid w:val="0060621A"/>
    <w:rsid w:val="006071F0"/>
    <w:rsid w:val="00607FF8"/>
    <w:rsid w:val="006109B1"/>
    <w:rsid w:val="006116D4"/>
    <w:rsid w:val="0061218D"/>
    <w:rsid w:val="006137C1"/>
    <w:rsid w:val="006137C3"/>
    <w:rsid w:val="0061391D"/>
    <w:rsid w:val="00613EE7"/>
    <w:rsid w:val="00614494"/>
    <w:rsid w:val="006176D2"/>
    <w:rsid w:val="00621B18"/>
    <w:rsid w:val="00622DF9"/>
    <w:rsid w:val="00624203"/>
    <w:rsid w:val="006277E9"/>
    <w:rsid w:val="00631258"/>
    <w:rsid w:val="00631D25"/>
    <w:rsid w:val="00632065"/>
    <w:rsid w:val="00633BC9"/>
    <w:rsid w:val="00636289"/>
    <w:rsid w:val="006367F3"/>
    <w:rsid w:val="00637228"/>
    <w:rsid w:val="00642A69"/>
    <w:rsid w:val="00644756"/>
    <w:rsid w:val="00645C0E"/>
    <w:rsid w:val="0064613F"/>
    <w:rsid w:val="00646BCD"/>
    <w:rsid w:val="00646DEE"/>
    <w:rsid w:val="00647B47"/>
    <w:rsid w:val="0065089C"/>
    <w:rsid w:val="006525D3"/>
    <w:rsid w:val="006533CA"/>
    <w:rsid w:val="00654242"/>
    <w:rsid w:val="006563BE"/>
    <w:rsid w:val="00656A2F"/>
    <w:rsid w:val="00656A49"/>
    <w:rsid w:val="006627C8"/>
    <w:rsid w:val="0066444E"/>
    <w:rsid w:val="006654B7"/>
    <w:rsid w:val="0066630B"/>
    <w:rsid w:val="00667608"/>
    <w:rsid w:val="00670008"/>
    <w:rsid w:val="006720F7"/>
    <w:rsid w:val="00674F38"/>
    <w:rsid w:val="006752E7"/>
    <w:rsid w:val="0067536C"/>
    <w:rsid w:val="006760CC"/>
    <w:rsid w:val="00677EBE"/>
    <w:rsid w:val="00681863"/>
    <w:rsid w:val="00682C10"/>
    <w:rsid w:val="006833D7"/>
    <w:rsid w:val="0068369F"/>
    <w:rsid w:val="0068479E"/>
    <w:rsid w:val="006854B6"/>
    <w:rsid w:val="0068603E"/>
    <w:rsid w:val="00690CF2"/>
    <w:rsid w:val="006912A6"/>
    <w:rsid w:val="00693371"/>
    <w:rsid w:val="006960FA"/>
    <w:rsid w:val="00696819"/>
    <w:rsid w:val="00696830"/>
    <w:rsid w:val="00697698"/>
    <w:rsid w:val="006A043C"/>
    <w:rsid w:val="006A0CF3"/>
    <w:rsid w:val="006A2CCC"/>
    <w:rsid w:val="006A3602"/>
    <w:rsid w:val="006A4248"/>
    <w:rsid w:val="006A43D1"/>
    <w:rsid w:val="006A59E6"/>
    <w:rsid w:val="006A65FD"/>
    <w:rsid w:val="006A7431"/>
    <w:rsid w:val="006B1B05"/>
    <w:rsid w:val="006B2456"/>
    <w:rsid w:val="006B4E7C"/>
    <w:rsid w:val="006C19C4"/>
    <w:rsid w:val="006C2C21"/>
    <w:rsid w:val="006C442F"/>
    <w:rsid w:val="006C47FE"/>
    <w:rsid w:val="006C505D"/>
    <w:rsid w:val="006C5697"/>
    <w:rsid w:val="006C5F04"/>
    <w:rsid w:val="006C64C7"/>
    <w:rsid w:val="006D01A6"/>
    <w:rsid w:val="006D504D"/>
    <w:rsid w:val="006D537D"/>
    <w:rsid w:val="006D5AF0"/>
    <w:rsid w:val="006D5B1E"/>
    <w:rsid w:val="006D7061"/>
    <w:rsid w:val="006D73A0"/>
    <w:rsid w:val="006D7E6C"/>
    <w:rsid w:val="006E0611"/>
    <w:rsid w:val="006E0A5C"/>
    <w:rsid w:val="006E4CF2"/>
    <w:rsid w:val="006E51A5"/>
    <w:rsid w:val="006E5EB3"/>
    <w:rsid w:val="006E611C"/>
    <w:rsid w:val="006E6EDB"/>
    <w:rsid w:val="006E71D1"/>
    <w:rsid w:val="006F25B3"/>
    <w:rsid w:val="006F36D0"/>
    <w:rsid w:val="006F3AD6"/>
    <w:rsid w:val="006F629C"/>
    <w:rsid w:val="006F74F2"/>
    <w:rsid w:val="006F79FE"/>
    <w:rsid w:val="006F7C6C"/>
    <w:rsid w:val="006F7ED7"/>
    <w:rsid w:val="007009E2"/>
    <w:rsid w:val="00701A68"/>
    <w:rsid w:val="0070685D"/>
    <w:rsid w:val="00707B48"/>
    <w:rsid w:val="00707CD9"/>
    <w:rsid w:val="00710847"/>
    <w:rsid w:val="00711276"/>
    <w:rsid w:val="007142AF"/>
    <w:rsid w:val="00714A7A"/>
    <w:rsid w:val="00716304"/>
    <w:rsid w:val="007170CA"/>
    <w:rsid w:val="0071733D"/>
    <w:rsid w:val="0071764A"/>
    <w:rsid w:val="00720929"/>
    <w:rsid w:val="00720FD4"/>
    <w:rsid w:val="007219E1"/>
    <w:rsid w:val="00721CE8"/>
    <w:rsid w:val="0072202A"/>
    <w:rsid w:val="0072433D"/>
    <w:rsid w:val="007249B9"/>
    <w:rsid w:val="007255FA"/>
    <w:rsid w:val="00726069"/>
    <w:rsid w:val="007271D9"/>
    <w:rsid w:val="007274F2"/>
    <w:rsid w:val="00733416"/>
    <w:rsid w:val="00733B1B"/>
    <w:rsid w:val="0073417B"/>
    <w:rsid w:val="00735F0D"/>
    <w:rsid w:val="00736875"/>
    <w:rsid w:val="007416FE"/>
    <w:rsid w:val="00741A19"/>
    <w:rsid w:val="007425C1"/>
    <w:rsid w:val="007425FD"/>
    <w:rsid w:val="007428EB"/>
    <w:rsid w:val="00745568"/>
    <w:rsid w:val="00747C90"/>
    <w:rsid w:val="00753FF4"/>
    <w:rsid w:val="0075666F"/>
    <w:rsid w:val="00756D23"/>
    <w:rsid w:val="00756DBA"/>
    <w:rsid w:val="00757F50"/>
    <w:rsid w:val="00760740"/>
    <w:rsid w:val="00760EB5"/>
    <w:rsid w:val="00763E87"/>
    <w:rsid w:val="00764E18"/>
    <w:rsid w:val="007654E8"/>
    <w:rsid w:val="0076556F"/>
    <w:rsid w:val="00767A07"/>
    <w:rsid w:val="00770210"/>
    <w:rsid w:val="007711FB"/>
    <w:rsid w:val="00774122"/>
    <w:rsid w:val="00774C37"/>
    <w:rsid w:val="0077747D"/>
    <w:rsid w:val="007802F9"/>
    <w:rsid w:val="007806BF"/>
    <w:rsid w:val="0078161E"/>
    <w:rsid w:val="00781DA1"/>
    <w:rsid w:val="00783B87"/>
    <w:rsid w:val="00783D46"/>
    <w:rsid w:val="00783FC8"/>
    <w:rsid w:val="00784189"/>
    <w:rsid w:val="00784F1A"/>
    <w:rsid w:val="00787A45"/>
    <w:rsid w:val="007909A6"/>
    <w:rsid w:val="00791AC2"/>
    <w:rsid w:val="00791E6B"/>
    <w:rsid w:val="0079558F"/>
    <w:rsid w:val="007A04BA"/>
    <w:rsid w:val="007A0BAC"/>
    <w:rsid w:val="007A3263"/>
    <w:rsid w:val="007A374E"/>
    <w:rsid w:val="007A4270"/>
    <w:rsid w:val="007A4CF7"/>
    <w:rsid w:val="007A642A"/>
    <w:rsid w:val="007A69F8"/>
    <w:rsid w:val="007A6CA2"/>
    <w:rsid w:val="007A6E1D"/>
    <w:rsid w:val="007A7090"/>
    <w:rsid w:val="007B148E"/>
    <w:rsid w:val="007B3428"/>
    <w:rsid w:val="007B3D6F"/>
    <w:rsid w:val="007B4EFA"/>
    <w:rsid w:val="007B5109"/>
    <w:rsid w:val="007B5EC8"/>
    <w:rsid w:val="007B7643"/>
    <w:rsid w:val="007C14C9"/>
    <w:rsid w:val="007C16F9"/>
    <w:rsid w:val="007C1CD7"/>
    <w:rsid w:val="007C1E11"/>
    <w:rsid w:val="007C28DE"/>
    <w:rsid w:val="007C2CF4"/>
    <w:rsid w:val="007C3948"/>
    <w:rsid w:val="007C674E"/>
    <w:rsid w:val="007C7B48"/>
    <w:rsid w:val="007D0A9C"/>
    <w:rsid w:val="007D2D1E"/>
    <w:rsid w:val="007D595B"/>
    <w:rsid w:val="007D62FB"/>
    <w:rsid w:val="007E0848"/>
    <w:rsid w:val="007E268C"/>
    <w:rsid w:val="007E4752"/>
    <w:rsid w:val="007E7BC2"/>
    <w:rsid w:val="007F5224"/>
    <w:rsid w:val="007F732A"/>
    <w:rsid w:val="007F7979"/>
    <w:rsid w:val="00802293"/>
    <w:rsid w:val="0080260A"/>
    <w:rsid w:val="0080358E"/>
    <w:rsid w:val="0080426F"/>
    <w:rsid w:val="008047C3"/>
    <w:rsid w:val="00807F00"/>
    <w:rsid w:val="00815628"/>
    <w:rsid w:val="00815F15"/>
    <w:rsid w:val="0081610B"/>
    <w:rsid w:val="008161E9"/>
    <w:rsid w:val="0081656E"/>
    <w:rsid w:val="00817BA5"/>
    <w:rsid w:val="00821C86"/>
    <w:rsid w:val="00822885"/>
    <w:rsid w:val="00823263"/>
    <w:rsid w:val="008237C0"/>
    <w:rsid w:val="008242F7"/>
    <w:rsid w:val="00824687"/>
    <w:rsid w:val="0083008D"/>
    <w:rsid w:val="00834514"/>
    <w:rsid w:val="008352C6"/>
    <w:rsid w:val="00835399"/>
    <w:rsid w:val="00837884"/>
    <w:rsid w:val="008437AF"/>
    <w:rsid w:val="00850032"/>
    <w:rsid w:val="00850112"/>
    <w:rsid w:val="008541AD"/>
    <w:rsid w:val="008541F0"/>
    <w:rsid w:val="00855033"/>
    <w:rsid w:val="00855C77"/>
    <w:rsid w:val="0085774F"/>
    <w:rsid w:val="00860017"/>
    <w:rsid w:val="0086034B"/>
    <w:rsid w:val="00862131"/>
    <w:rsid w:val="0086247B"/>
    <w:rsid w:val="00864CD4"/>
    <w:rsid w:val="00867AB2"/>
    <w:rsid w:val="00870E32"/>
    <w:rsid w:val="008720A7"/>
    <w:rsid w:val="0087427A"/>
    <w:rsid w:val="00875271"/>
    <w:rsid w:val="0088000E"/>
    <w:rsid w:val="00881100"/>
    <w:rsid w:val="00882488"/>
    <w:rsid w:val="00882BE6"/>
    <w:rsid w:val="00882DFA"/>
    <w:rsid w:val="00883F76"/>
    <w:rsid w:val="0088702D"/>
    <w:rsid w:val="0088741B"/>
    <w:rsid w:val="00887F70"/>
    <w:rsid w:val="00890C4D"/>
    <w:rsid w:val="0089191B"/>
    <w:rsid w:val="008942DF"/>
    <w:rsid w:val="008944E0"/>
    <w:rsid w:val="00895272"/>
    <w:rsid w:val="00895764"/>
    <w:rsid w:val="00896C15"/>
    <w:rsid w:val="008A2BAE"/>
    <w:rsid w:val="008A33B0"/>
    <w:rsid w:val="008A400B"/>
    <w:rsid w:val="008A4B85"/>
    <w:rsid w:val="008A4EB2"/>
    <w:rsid w:val="008A7D13"/>
    <w:rsid w:val="008B0A98"/>
    <w:rsid w:val="008B3D05"/>
    <w:rsid w:val="008B3F0D"/>
    <w:rsid w:val="008B44D3"/>
    <w:rsid w:val="008B4A6E"/>
    <w:rsid w:val="008B5967"/>
    <w:rsid w:val="008B5C62"/>
    <w:rsid w:val="008B6943"/>
    <w:rsid w:val="008C0C3B"/>
    <w:rsid w:val="008C1577"/>
    <w:rsid w:val="008C191E"/>
    <w:rsid w:val="008C19BB"/>
    <w:rsid w:val="008C2CB9"/>
    <w:rsid w:val="008C3545"/>
    <w:rsid w:val="008C387E"/>
    <w:rsid w:val="008C47A5"/>
    <w:rsid w:val="008C55B3"/>
    <w:rsid w:val="008C5D2E"/>
    <w:rsid w:val="008C77B2"/>
    <w:rsid w:val="008C7A6F"/>
    <w:rsid w:val="008D0901"/>
    <w:rsid w:val="008D0F15"/>
    <w:rsid w:val="008D1809"/>
    <w:rsid w:val="008D4881"/>
    <w:rsid w:val="008E08F6"/>
    <w:rsid w:val="008E11B9"/>
    <w:rsid w:val="008E7A56"/>
    <w:rsid w:val="008F222A"/>
    <w:rsid w:val="008F40B3"/>
    <w:rsid w:val="008F58C8"/>
    <w:rsid w:val="008F5DF4"/>
    <w:rsid w:val="008F788E"/>
    <w:rsid w:val="009011FD"/>
    <w:rsid w:val="0090231A"/>
    <w:rsid w:val="0090474F"/>
    <w:rsid w:val="00905B9D"/>
    <w:rsid w:val="00905C93"/>
    <w:rsid w:val="0090647A"/>
    <w:rsid w:val="00906D22"/>
    <w:rsid w:val="00910AAC"/>
    <w:rsid w:val="00911F87"/>
    <w:rsid w:val="009124DA"/>
    <w:rsid w:val="00914715"/>
    <w:rsid w:val="0091770D"/>
    <w:rsid w:val="00917991"/>
    <w:rsid w:val="00920067"/>
    <w:rsid w:val="00922293"/>
    <w:rsid w:val="009239A2"/>
    <w:rsid w:val="00923B78"/>
    <w:rsid w:val="00923EC5"/>
    <w:rsid w:val="00924514"/>
    <w:rsid w:val="00924E44"/>
    <w:rsid w:val="00925FDE"/>
    <w:rsid w:val="00926227"/>
    <w:rsid w:val="009309B6"/>
    <w:rsid w:val="00932ECF"/>
    <w:rsid w:val="009333EF"/>
    <w:rsid w:val="00933C04"/>
    <w:rsid w:val="00935228"/>
    <w:rsid w:val="009359EC"/>
    <w:rsid w:val="00940918"/>
    <w:rsid w:val="00941006"/>
    <w:rsid w:val="00941BAC"/>
    <w:rsid w:val="0094403F"/>
    <w:rsid w:val="00944D24"/>
    <w:rsid w:val="00945732"/>
    <w:rsid w:val="00945ADD"/>
    <w:rsid w:val="009462F0"/>
    <w:rsid w:val="00950C36"/>
    <w:rsid w:val="009547B5"/>
    <w:rsid w:val="00955409"/>
    <w:rsid w:val="00957C1C"/>
    <w:rsid w:val="00960358"/>
    <w:rsid w:val="0096180B"/>
    <w:rsid w:val="009619BF"/>
    <w:rsid w:val="00961AF0"/>
    <w:rsid w:val="00963A95"/>
    <w:rsid w:val="00964ED2"/>
    <w:rsid w:val="00965C71"/>
    <w:rsid w:val="009671E8"/>
    <w:rsid w:val="00970522"/>
    <w:rsid w:val="00970660"/>
    <w:rsid w:val="0097217A"/>
    <w:rsid w:val="00973A45"/>
    <w:rsid w:val="0097560A"/>
    <w:rsid w:val="0097676D"/>
    <w:rsid w:val="009774EC"/>
    <w:rsid w:val="00981AF2"/>
    <w:rsid w:val="00981F62"/>
    <w:rsid w:val="009825A7"/>
    <w:rsid w:val="00985189"/>
    <w:rsid w:val="00986019"/>
    <w:rsid w:val="0098721A"/>
    <w:rsid w:val="009918DD"/>
    <w:rsid w:val="00991D84"/>
    <w:rsid w:val="00991E5A"/>
    <w:rsid w:val="0099542B"/>
    <w:rsid w:val="00996288"/>
    <w:rsid w:val="009A056D"/>
    <w:rsid w:val="009A0823"/>
    <w:rsid w:val="009A3292"/>
    <w:rsid w:val="009A6A23"/>
    <w:rsid w:val="009B02B8"/>
    <w:rsid w:val="009B3585"/>
    <w:rsid w:val="009B3944"/>
    <w:rsid w:val="009B3970"/>
    <w:rsid w:val="009B43B2"/>
    <w:rsid w:val="009B4506"/>
    <w:rsid w:val="009B49C4"/>
    <w:rsid w:val="009B4EEF"/>
    <w:rsid w:val="009B71DE"/>
    <w:rsid w:val="009B7FEA"/>
    <w:rsid w:val="009C0193"/>
    <w:rsid w:val="009C283B"/>
    <w:rsid w:val="009C2977"/>
    <w:rsid w:val="009C3F49"/>
    <w:rsid w:val="009C4336"/>
    <w:rsid w:val="009C5FF5"/>
    <w:rsid w:val="009C6B9E"/>
    <w:rsid w:val="009C7054"/>
    <w:rsid w:val="009D0315"/>
    <w:rsid w:val="009D26C2"/>
    <w:rsid w:val="009D36E6"/>
    <w:rsid w:val="009D3905"/>
    <w:rsid w:val="009D40AE"/>
    <w:rsid w:val="009D5A5D"/>
    <w:rsid w:val="009E4392"/>
    <w:rsid w:val="009E5C58"/>
    <w:rsid w:val="009F129B"/>
    <w:rsid w:val="009F297F"/>
    <w:rsid w:val="009F312F"/>
    <w:rsid w:val="009F3F3A"/>
    <w:rsid w:val="009F51B8"/>
    <w:rsid w:val="009F5E14"/>
    <w:rsid w:val="009F72F6"/>
    <w:rsid w:val="009F7C30"/>
    <w:rsid w:val="00A01FE1"/>
    <w:rsid w:val="00A0336C"/>
    <w:rsid w:val="00A03908"/>
    <w:rsid w:val="00A03A6F"/>
    <w:rsid w:val="00A041C5"/>
    <w:rsid w:val="00A062D9"/>
    <w:rsid w:val="00A063A8"/>
    <w:rsid w:val="00A06DD9"/>
    <w:rsid w:val="00A07005"/>
    <w:rsid w:val="00A07110"/>
    <w:rsid w:val="00A07140"/>
    <w:rsid w:val="00A07E77"/>
    <w:rsid w:val="00A102B8"/>
    <w:rsid w:val="00A113B3"/>
    <w:rsid w:val="00A11B89"/>
    <w:rsid w:val="00A15713"/>
    <w:rsid w:val="00A16B0D"/>
    <w:rsid w:val="00A17CCC"/>
    <w:rsid w:val="00A203F7"/>
    <w:rsid w:val="00A20C80"/>
    <w:rsid w:val="00A27AD0"/>
    <w:rsid w:val="00A3087B"/>
    <w:rsid w:val="00A308BA"/>
    <w:rsid w:val="00A3188D"/>
    <w:rsid w:val="00A32097"/>
    <w:rsid w:val="00A3217B"/>
    <w:rsid w:val="00A36849"/>
    <w:rsid w:val="00A37A45"/>
    <w:rsid w:val="00A42083"/>
    <w:rsid w:val="00A4288C"/>
    <w:rsid w:val="00A43A9F"/>
    <w:rsid w:val="00A45A74"/>
    <w:rsid w:val="00A46339"/>
    <w:rsid w:val="00A469DE"/>
    <w:rsid w:val="00A5007A"/>
    <w:rsid w:val="00A5375A"/>
    <w:rsid w:val="00A53DFB"/>
    <w:rsid w:val="00A55DA8"/>
    <w:rsid w:val="00A57317"/>
    <w:rsid w:val="00A579F8"/>
    <w:rsid w:val="00A61D54"/>
    <w:rsid w:val="00A621FC"/>
    <w:rsid w:val="00A64D0C"/>
    <w:rsid w:val="00A65F9E"/>
    <w:rsid w:val="00A66C1C"/>
    <w:rsid w:val="00A70D82"/>
    <w:rsid w:val="00A73B0D"/>
    <w:rsid w:val="00A743A2"/>
    <w:rsid w:val="00A76307"/>
    <w:rsid w:val="00A76EBC"/>
    <w:rsid w:val="00A77BFA"/>
    <w:rsid w:val="00A816DB"/>
    <w:rsid w:val="00A8226D"/>
    <w:rsid w:val="00A82CF0"/>
    <w:rsid w:val="00A82F6D"/>
    <w:rsid w:val="00A83433"/>
    <w:rsid w:val="00A843AC"/>
    <w:rsid w:val="00A845CB"/>
    <w:rsid w:val="00A84BC4"/>
    <w:rsid w:val="00A84D55"/>
    <w:rsid w:val="00A86127"/>
    <w:rsid w:val="00A861E2"/>
    <w:rsid w:val="00A86805"/>
    <w:rsid w:val="00A86BC3"/>
    <w:rsid w:val="00A917B9"/>
    <w:rsid w:val="00A9208E"/>
    <w:rsid w:val="00A92399"/>
    <w:rsid w:val="00A94B3E"/>
    <w:rsid w:val="00AA1273"/>
    <w:rsid w:val="00AA1F90"/>
    <w:rsid w:val="00AA2B09"/>
    <w:rsid w:val="00AA37B2"/>
    <w:rsid w:val="00AA6592"/>
    <w:rsid w:val="00AA7654"/>
    <w:rsid w:val="00AB03C6"/>
    <w:rsid w:val="00AB13E1"/>
    <w:rsid w:val="00AB5478"/>
    <w:rsid w:val="00AB756F"/>
    <w:rsid w:val="00AB7FD9"/>
    <w:rsid w:val="00AC0697"/>
    <w:rsid w:val="00AC1AC7"/>
    <w:rsid w:val="00AC3F38"/>
    <w:rsid w:val="00AD3852"/>
    <w:rsid w:val="00AD5296"/>
    <w:rsid w:val="00AD5CAF"/>
    <w:rsid w:val="00AD6D73"/>
    <w:rsid w:val="00AE0402"/>
    <w:rsid w:val="00AE0713"/>
    <w:rsid w:val="00AE0CC8"/>
    <w:rsid w:val="00AE1392"/>
    <w:rsid w:val="00AE15BB"/>
    <w:rsid w:val="00AE16F1"/>
    <w:rsid w:val="00AE2DC1"/>
    <w:rsid w:val="00AE46A0"/>
    <w:rsid w:val="00AE55C8"/>
    <w:rsid w:val="00AE56C3"/>
    <w:rsid w:val="00AE5EDA"/>
    <w:rsid w:val="00AE6256"/>
    <w:rsid w:val="00AF0958"/>
    <w:rsid w:val="00AF0C60"/>
    <w:rsid w:val="00AF219F"/>
    <w:rsid w:val="00AF423C"/>
    <w:rsid w:val="00AF6ACE"/>
    <w:rsid w:val="00AF71BB"/>
    <w:rsid w:val="00B00629"/>
    <w:rsid w:val="00B00EB7"/>
    <w:rsid w:val="00B010CF"/>
    <w:rsid w:val="00B01602"/>
    <w:rsid w:val="00B02C95"/>
    <w:rsid w:val="00B037A4"/>
    <w:rsid w:val="00B0409D"/>
    <w:rsid w:val="00B07A79"/>
    <w:rsid w:val="00B07B10"/>
    <w:rsid w:val="00B107DC"/>
    <w:rsid w:val="00B11082"/>
    <w:rsid w:val="00B12C57"/>
    <w:rsid w:val="00B13182"/>
    <w:rsid w:val="00B1319E"/>
    <w:rsid w:val="00B13267"/>
    <w:rsid w:val="00B138C3"/>
    <w:rsid w:val="00B13D74"/>
    <w:rsid w:val="00B1408C"/>
    <w:rsid w:val="00B14335"/>
    <w:rsid w:val="00B14606"/>
    <w:rsid w:val="00B14B75"/>
    <w:rsid w:val="00B14D5D"/>
    <w:rsid w:val="00B15C1A"/>
    <w:rsid w:val="00B16565"/>
    <w:rsid w:val="00B16877"/>
    <w:rsid w:val="00B209B6"/>
    <w:rsid w:val="00B23B3E"/>
    <w:rsid w:val="00B23DE9"/>
    <w:rsid w:val="00B24725"/>
    <w:rsid w:val="00B25219"/>
    <w:rsid w:val="00B25C73"/>
    <w:rsid w:val="00B27AE8"/>
    <w:rsid w:val="00B339CA"/>
    <w:rsid w:val="00B33DB7"/>
    <w:rsid w:val="00B33EE0"/>
    <w:rsid w:val="00B34DE3"/>
    <w:rsid w:val="00B355FC"/>
    <w:rsid w:val="00B36709"/>
    <w:rsid w:val="00B37187"/>
    <w:rsid w:val="00B40C7F"/>
    <w:rsid w:val="00B415B9"/>
    <w:rsid w:val="00B41C26"/>
    <w:rsid w:val="00B44739"/>
    <w:rsid w:val="00B44A9B"/>
    <w:rsid w:val="00B4559F"/>
    <w:rsid w:val="00B46EAB"/>
    <w:rsid w:val="00B474EA"/>
    <w:rsid w:val="00B47C57"/>
    <w:rsid w:val="00B52A32"/>
    <w:rsid w:val="00B53222"/>
    <w:rsid w:val="00B54CC0"/>
    <w:rsid w:val="00B56BF9"/>
    <w:rsid w:val="00B61C1A"/>
    <w:rsid w:val="00B62D70"/>
    <w:rsid w:val="00B65F13"/>
    <w:rsid w:val="00B67BE6"/>
    <w:rsid w:val="00B71A3B"/>
    <w:rsid w:val="00B71BF8"/>
    <w:rsid w:val="00B72F86"/>
    <w:rsid w:val="00B74247"/>
    <w:rsid w:val="00B7437B"/>
    <w:rsid w:val="00B74FA4"/>
    <w:rsid w:val="00B7534D"/>
    <w:rsid w:val="00B75C2B"/>
    <w:rsid w:val="00B7746C"/>
    <w:rsid w:val="00B77663"/>
    <w:rsid w:val="00B77877"/>
    <w:rsid w:val="00B83307"/>
    <w:rsid w:val="00B83465"/>
    <w:rsid w:val="00B83903"/>
    <w:rsid w:val="00B8449B"/>
    <w:rsid w:val="00B87242"/>
    <w:rsid w:val="00B877AD"/>
    <w:rsid w:val="00B932BC"/>
    <w:rsid w:val="00B94A0B"/>
    <w:rsid w:val="00B957B4"/>
    <w:rsid w:val="00B95C36"/>
    <w:rsid w:val="00B96CB2"/>
    <w:rsid w:val="00BA0CEC"/>
    <w:rsid w:val="00BB093E"/>
    <w:rsid w:val="00BB0F78"/>
    <w:rsid w:val="00BB166E"/>
    <w:rsid w:val="00BB5363"/>
    <w:rsid w:val="00BB59EE"/>
    <w:rsid w:val="00BB7125"/>
    <w:rsid w:val="00BC0C3B"/>
    <w:rsid w:val="00BC3824"/>
    <w:rsid w:val="00BC3F17"/>
    <w:rsid w:val="00BC41CA"/>
    <w:rsid w:val="00BC494C"/>
    <w:rsid w:val="00BC510D"/>
    <w:rsid w:val="00BC5CD3"/>
    <w:rsid w:val="00BC72FF"/>
    <w:rsid w:val="00BD0A7C"/>
    <w:rsid w:val="00BD1D70"/>
    <w:rsid w:val="00BD296B"/>
    <w:rsid w:val="00BD2BF0"/>
    <w:rsid w:val="00BD341D"/>
    <w:rsid w:val="00BD4F03"/>
    <w:rsid w:val="00BD5504"/>
    <w:rsid w:val="00BD5A22"/>
    <w:rsid w:val="00BD62BB"/>
    <w:rsid w:val="00BE02A9"/>
    <w:rsid w:val="00BE1212"/>
    <w:rsid w:val="00BE1F57"/>
    <w:rsid w:val="00BE2BB5"/>
    <w:rsid w:val="00BE3284"/>
    <w:rsid w:val="00BE334F"/>
    <w:rsid w:val="00BE417B"/>
    <w:rsid w:val="00BE5349"/>
    <w:rsid w:val="00BE6385"/>
    <w:rsid w:val="00BE7D12"/>
    <w:rsid w:val="00BE7D21"/>
    <w:rsid w:val="00BF13C0"/>
    <w:rsid w:val="00BF17D3"/>
    <w:rsid w:val="00BF268C"/>
    <w:rsid w:val="00BF4B89"/>
    <w:rsid w:val="00BF4EED"/>
    <w:rsid w:val="00BF6E02"/>
    <w:rsid w:val="00BF7440"/>
    <w:rsid w:val="00C00282"/>
    <w:rsid w:val="00C00BE5"/>
    <w:rsid w:val="00C02E14"/>
    <w:rsid w:val="00C049F0"/>
    <w:rsid w:val="00C06591"/>
    <w:rsid w:val="00C077E8"/>
    <w:rsid w:val="00C10F0A"/>
    <w:rsid w:val="00C12EED"/>
    <w:rsid w:val="00C137F4"/>
    <w:rsid w:val="00C142E0"/>
    <w:rsid w:val="00C15911"/>
    <w:rsid w:val="00C177E2"/>
    <w:rsid w:val="00C209C2"/>
    <w:rsid w:val="00C210CB"/>
    <w:rsid w:val="00C222A8"/>
    <w:rsid w:val="00C24DCA"/>
    <w:rsid w:val="00C2783D"/>
    <w:rsid w:val="00C31823"/>
    <w:rsid w:val="00C3242B"/>
    <w:rsid w:val="00C35D04"/>
    <w:rsid w:val="00C37A9E"/>
    <w:rsid w:val="00C4065C"/>
    <w:rsid w:val="00C416C9"/>
    <w:rsid w:val="00C4232A"/>
    <w:rsid w:val="00C42845"/>
    <w:rsid w:val="00C439EE"/>
    <w:rsid w:val="00C4600A"/>
    <w:rsid w:val="00C46EDE"/>
    <w:rsid w:val="00C47D5C"/>
    <w:rsid w:val="00C512B5"/>
    <w:rsid w:val="00C520EF"/>
    <w:rsid w:val="00C52DCD"/>
    <w:rsid w:val="00C53597"/>
    <w:rsid w:val="00C53AC8"/>
    <w:rsid w:val="00C548F3"/>
    <w:rsid w:val="00C54EF6"/>
    <w:rsid w:val="00C56618"/>
    <w:rsid w:val="00C574E7"/>
    <w:rsid w:val="00C61C26"/>
    <w:rsid w:val="00C628F5"/>
    <w:rsid w:val="00C6746D"/>
    <w:rsid w:val="00C67C4B"/>
    <w:rsid w:val="00C70DF5"/>
    <w:rsid w:val="00C70EC3"/>
    <w:rsid w:val="00C71CBD"/>
    <w:rsid w:val="00C72241"/>
    <w:rsid w:val="00C7273C"/>
    <w:rsid w:val="00C7311B"/>
    <w:rsid w:val="00C75E61"/>
    <w:rsid w:val="00C763D9"/>
    <w:rsid w:val="00C76F0C"/>
    <w:rsid w:val="00C77369"/>
    <w:rsid w:val="00C805C7"/>
    <w:rsid w:val="00C811FF"/>
    <w:rsid w:val="00C8285A"/>
    <w:rsid w:val="00C82CF5"/>
    <w:rsid w:val="00C83073"/>
    <w:rsid w:val="00C838FD"/>
    <w:rsid w:val="00C83FD4"/>
    <w:rsid w:val="00C86C3D"/>
    <w:rsid w:val="00C87D15"/>
    <w:rsid w:val="00C90076"/>
    <w:rsid w:val="00C90E9D"/>
    <w:rsid w:val="00C942C1"/>
    <w:rsid w:val="00C949F9"/>
    <w:rsid w:val="00C94C04"/>
    <w:rsid w:val="00C956BB"/>
    <w:rsid w:val="00C96500"/>
    <w:rsid w:val="00CA0CB4"/>
    <w:rsid w:val="00CA0FC4"/>
    <w:rsid w:val="00CA110C"/>
    <w:rsid w:val="00CA1DFC"/>
    <w:rsid w:val="00CA3208"/>
    <w:rsid w:val="00CA60D2"/>
    <w:rsid w:val="00CA7484"/>
    <w:rsid w:val="00CB143D"/>
    <w:rsid w:val="00CB2A33"/>
    <w:rsid w:val="00CB2D0D"/>
    <w:rsid w:val="00CB32EF"/>
    <w:rsid w:val="00CB33B4"/>
    <w:rsid w:val="00CB39D4"/>
    <w:rsid w:val="00CB4BC2"/>
    <w:rsid w:val="00CC3919"/>
    <w:rsid w:val="00CC450B"/>
    <w:rsid w:val="00CC581A"/>
    <w:rsid w:val="00CD0DBF"/>
    <w:rsid w:val="00CD12CC"/>
    <w:rsid w:val="00CD2483"/>
    <w:rsid w:val="00CD5E65"/>
    <w:rsid w:val="00CE0060"/>
    <w:rsid w:val="00CE0A88"/>
    <w:rsid w:val="00CE183E"/>
    <w:rsid w:val="00CE1A87"/>
    <w:rsid w:val="00CE292B"/>
    <w:rsid w:val="00CE36CF"/>
    <w:rsid w:val="00CE396D"/>
    <w:rsid w:val="00CE3974"/>
    <w:rsid w:val="00CE3DDC"/>
    <w:rsid w:val="00CE58CE"/>
    <w:rsid w:val="00CE7569"/>
    <w:rsid w:val="00CF1102"/>
    <w:rsid w:val="00CF3384"/>
    <w:rsid w:val="00CF3496"/>
    <w:rsid w:val="00CF446F"/>
    <w:rsid w:val="00CF44DA"/>
    <w:rsid w:val="00CF4953"/>
    <w:rsid w:val="00CF65B0"/>
    <w:rsid w:val="00CF7798"/>
    <w:rsid w:val="00D025B9"/>
    <w:rsid w:val="00D06055"/>
    <w:rsid w:val="00D067F8"/>
    <w:rsid w:val="00D10187"/>
    <w:rsid w:val="00D12207"/>
    <w:rsid w:val="00D13E29"/>
    <w:rsid w:val="00D1608C"/>
    <w:rsid w:val="00D16469"/>
    <w:rsid w:val="00D17754"/>
    <w:rsid w:val="00D21F5F"/>
    <w:rsid w:val="00D2356D"/>
    <w:rsid w:val="00D23AF7"/>
    <w:rsid w:val="00D25D56"/>
    <w:rsid w:val="00D26758"/>
    <w:rsid w:val="00D26CB3"/>
    <w:rsid w:val="00D32A34"/>
    <w:rsid w:val="00D33139"/>
    <w:rsid w:val="00D333FA"/>
    <w:rsid w:val="00D33C98"/>
    <w:rsid w:val="00D34E97"/>
    <w:rsid w:val="00D36722"/>
    <w:rsid w:val="00D378FE"/>
    <w:rsid w:val="00D37D99"/>
    <w:rsid w:val="00D42D9F"/>
    <w:rsid w:val="00D45140"/>
    <w:rsid w:val="00D4527A"/>
    <w:rsid w:val="00D458F4"/>
    <w:rsid w:val="00D45D20"/>
    <w:rsid w:val="00D53C35"/>
    <w:rsid w:val="00D53D45"/>
    <w:rsid w:val="00D5634A"/>
    <w:rsid w:val="00D6061B"/>
    <w:rsid w:val="00D61C4E"/>
    <w:rsid w:val="00D62386"/>
    <w:rsid w:val="00D65FF9"/>
    <w:rsid w:val="00D66114"/>
    <w:rsid w:val="00D66974"/>
    <w:rsid w:val="00D67882"/>
    <w:rsid w:val="00D722C6"/>
    <w:rsid w:val="00D72325"/>
    <w:rsid w:val="00D73F6E"/>
    <w:rsid w:val="00D74049"/>
    <w:rsid w:val="00D740E4"/>
    <w:rsid w:val="00D7582B"/>
    <w:rsid w:val="00D77218"/>
    <w:rsid w:val="00D81155"/>
    <w:rsid w:val="00D82769"/>
    <w:rsid w:val="00D85491"/>
    <w:rsid w:val="00D909D8"/>
    <w:rsid w:val="00D9112D"/>
    <w:rsid w:val="00D927FA"/>
    <w:rsid w:val="00D931FA"/>
    <w:rsid w:val="00D9383F"/>
    <w:rsid w:val="00D939D4"/>
    <w:rsid w:val="00D93D0A"/>
    <w:rsid w:val="00D95222"/>
    <w:rsid w:val="00D96B8D"/>
    <w:rsid w:val="00D96FDE"/>
    <w:rsid w:val="00DA20EE"/>
    <w:rsid w:val="00DA2ADB"/>
    <w:rsid w:val="00DA52C4"/>
    <w:rsid w:val="00DA54FE"/>
    <w:rsid w:val="00DA6132"/>
    <w:rsid w:val="00DA6F3B"/>
    <w:rsid w:val="00DB0A1C"/>
    <w:rsid w:val="00DB4589"/>
    <w:rsid w:val="00DB7884"/>
    <w:rsid w:val="00DC0A32"/>
    <w:rsid w:val="00DC1323"/>
    <w:rsid w:val="00DC14E2"/>
    <w:rsid w:val="00DC18B9"/>
    <w:rsid w:val="00DC4969"/>
    <w:rsid w:val="00DC7065"/>
    <w:rsid w:val="00DD03A0"/>
    <w:rsid w:val="00DD0467"/>
    <w:rsid w:val="00DD12C9"/>
    <w:rsid w:val="00DD288C"/>
    <w:rsid w:val="00DD67AB"/>
    <w:rsid w:val="00DD7355"/>
    <w:rsid w:val="00DD77D6"/>
    <w:rsid w:val="00DE108F"/>
    <w:rsid w:val="00DE27D6"/>
    <w:rsid w:val="00DE3BC8"/>
    <w:rsid w:val="00DE46BC"/>
    <w:rsid w:val="00DE6FF5"/>
    <w:rsid w:val="00DF0993"/>
    <w:rsid w:val="00DF1456"/>
    <w:rsid w:val="00DF340C"/>
    <w:rsid w:val="00DF4189"/>
    <w:rsid w:val="00DF5EC3"/>
    <w:rsid w:val="00DF7647"/>
    <w:rsid w:val="00E0053B"/>
    <w:rsid w:val="00E01900"/>
    <w:rsid w:val="00E02665"/>
    <w:rsid w:val="00E0279B"/>
    <w:rsid w:val="00E03EDB"/>
    <w:rsid w:val="00E05D40"/>
    <w:rsid w:val="00E062A6"/>
    <w:rsid w:val="00E06BCF"/>
    <w:rsid w:val="00E123BF"/>
    <w:rsid w:val="00E14F03"/>
    <w:rsid w:val="00E24E3E"/>
    <w:rsid w:val="00E24E8F"/>
    <w:rsid w:val="00E272A1"/>
    <w:rsid w:val="00E311C7"/>
    <w:rsid w:val="00E31520"/>
    <w:rsid w:val="00E315F1"/>
    <w:rsid w:val="00E33F77"/>
    <w:rsid w:val="00E33F97"/>
    <w:rsid w:val="00E3443D"/>
    <w:rsid w:val="00E34B1C"/>
    <w:rsid w:val="00E34D4F"/>
    <w:rsid w:val="00E359BD"/>
    <w:rsid w:val="00E35E4A"/>
    <w:rsid w:val="00E413D2"/>
    <w:rsid w:val="00E421A2"/>
    <w:rsid w:val="00E459E0"/>
    <w:rsid w:val="00E4636C"/>
    <w:rsid w:val="00E521EB"/>
    <w:rsid w:val="00E54544"/>
    <w:rsid w:val="00E54DDE"/>
    <w:rsid w:val="00E55C2E"/>
    <w:rsid w:val="00E56A27"/>
    <w:rsid w:val="00E56A74"/>
    <w:rsid w:val="00E56BDC"/>
    <w:rsid w:val="00E57B24"/>
    <w:rsid w:val="00E617B6"/>
    <w:rsid w:val="00E652AA"/>
    <w:rsid w:val="00E65C70"/>
    <w:rsid w:val="00E665AE"/>
    <w:rsid w:val="00E674AB"/>
    <w:rsid w:val="00E71841"/>
    <w:rsid w:val="00E71991"/>
    <w:rsid w:val="00E72222"/>
    <w:rsid w:val="00E72850"/>
    <w:rsid w:val="00E74088"/>
    <w:rsid w:val="00E7745F"/>
    <w:rsid w:val="00E82AEB"/>
    <w:rsid w:val="00E8440D"/>
    <w:rsid w:val="00E84D6E"/>
    <w:rsid w:val="00E87DD4"/>
    <w:rsid w:val="00E90CD6"/>
    <w:rsid w:val="00E922D8"/>
    <w:rsid w:val="00EA0802"/>
    <w:rsid w:val="00EA2863"/>
    <w:rsid w:val="00EA32BB"/>
    <w:rsid w:val="00EA7FA7"/>
    <w:rsid w:val="00EB01DE"/>
    <w:rsid w:val="00EB2204"/>
    <w:rsid w:val="00EB2BAE"/>
    <w:rsid w:val="00EB360A"/>
    <w:rsid w:val="00EB44BB"/>
    <w:rsid w:val="00EB4BB1"/>
    <w:rsid w:val="00EB7B08"/>
    <w:rsid w:val="00EC1B51"/>
    <w:rsid w:val="00EC295D"/>
    <w:rsid w:val="00EC31CE"/>
    <w:rsid w:val="00EC4F0E"/>
    <w:rsid w:val="00EC6116"/>
    <w:rsid w:val="00EC78C5"/>
    <w:rsid w:val="00EC7BC7"/>
    <w:rsid w:val="00ED4EC1"/>
    <w:rsid w:val="00ED521A"/>
    <w:rsid w:val="00ED5C03"/>
    <w:rsid w:val="00ED6ADD"/>
    <w:rsid w:val="00EE1772"/>
    <w:rsid w:val="00EE2136"/>
    <w:rsid w:val="00EE35DF"/>
    <w:rsid w:val="00EE45F9"/>
    <w:rsid w:val="00EE5C9B"/>
    <w:rsid w:val="00EE671C"/>
    <w:rsid w:val="00EE7CAB"/>
    <w:rsid w:val="00EF048D"/>
    <w:rsid w:val="00EF2674"/>
    <w:rsid w:val="00EF4C9F"/>
    <w:rsid w:val="00EF5ACB"/>
    <w:rsid w:val="00F01433"/>
    <w:rsid w:val="00F02076"/>
    <w:rsid w:val="00F03114"/>
    <w:rsid w:val="00F0438C"/>
    <w:rsid w:val="00F04EB1"/>
    <w:rsid w:val="00F068B5"/>
    <w:rsid w:val="00F07017"/>
    <w:rsid w:val="00F0761F"/>
    <w:rsid w:val="00F10E0D"/>
    <w:rsid w:val="00F11626"/>
    <w:rsid w:val="00F11862"/>
    <w:rsid w:val="00F11C0A"/>
    <w:rsid w:val="00F12D2A"/>
    <w:rsid w:val="00F1331D"/>
    <w:rsid w:val="00F13797"/>
    <w:rsid w:val="00F14BE4"/>
    <w:rsid w:val="00F209DC"/>
    <w:rsid w:val="00F20B14"/>
    <w:rsid w:val="00F2391C"/>
    <w:rsid w:val="00F2686D"/>
    <w:rsid w:val="00F27476"/>
    <w:rsid w:val="00F30698"/>
    <w:rsid w:val="00F309F6"/>
    <w:rsid w:val="00F32D0B"/>
    <w:rsid w:val="00F33932"/>
    <w:rsid w:val="00F339E6"/>
    <w:rsid w:val="00F3553F"/>
    <w:rsid w:val="00F36ACB"/>
    <w:rsid w:val="00F379EF"/>
    <w:rsid w:val="00F41303"/>
    <w:rsid w:val="00F41727"/>
    <w:rsid w:val="00F438CB"/>
    <w:rsid w:val="00F45EBF"/>
    <w:rsid w:val="00F46515"/>
    <w:rsid w:val="00F51A95"/>
    <w:rsid w:val="00F56F12"/>
    <w:rsid w:val="00F60EF7"/>
    <w:rsid w:val="00F6213A"/>
    <w:rsid w:val="00F624B7"/>
    <w:rsid w:val="00F62C7D"/>
    <w:rsid w:val="00F634D9"/>
    <w:rsid w:val="00F63FC8"/>
    <w:rsid w:val="00F72547"/>
    <w:rsid w:val="00F74468"/>
    <w:rsid w:val="00F75A1D"/>
    <w:rsid w:val="00F75FA4"/>
    <w:rsid w:val="00F768D3"/>
    <w:rsid w:val="00F77AC2"/>
    <w:rsid w:val="00F850B3"/>
    <w:rsid w:val="00F86523"/>
    <w:rsid w:val="00F86DBD"/>
    <w:rsid w:val="00F86E16"/>
    <w:rsid w:val="00F876F8"/>
    <w:rsid w:val="00F90B9D"/>
    <w:rsid w:val="00F9166B"/>
    <w:rsid w:val="00F92153"/>
    <w:rsid w:val="00F92D57"/>
    <w:rsid w:val="00F92ED5"/>
    <w:rsid w:val="00F930EC"/>
    <w:rsid w:val="00F934C9"/>
    <w:rsid w:val="00F93A2B"/>
    <w:rsid w:val="00F95521"/>
    <w:rsid w:val="00F961BD"/>
    <w:rsid w:val="00F96AE9"/>
    <w:rsid w:val="00FA207E"/>
    <w:rsid w:val="00FA6711"/>
    <w:rsid w:val="00FB292C"/>
    <w:rsid w:val="00FB2ABC"/>
    <w:rsid w:val="00FB2D57"/>
    <w:rsid w:val="00FB3F0E"/>
    <w:rsid w:val="00FB54A3"/>
    <w:rsid w:val="00FC3067"/>
    <w:rsid w:val="00FC3863"/>
    <w:rsid w:val="00FC3E11"/>
    <w:rsid w:val="00FC4478"/>
    <w:rsid w:val="00FC59FD"/>
    <w:rsid w:val="00FC5EC0"/>
    <w:rsid w:val="00FC5FDF"/>
    <w:rsid w:val="00FC68B1"/>
    <w:rsid w:val="00FD0AA5"/>
    <w:rsid w:val="00FD1360"/>
    <w:rsid w:val="00FD71F0"/>
    <w:rsid w:val="00FE06B1"/>
    <w:rsid w:val="00FE243C"/>
    <w:rsid w:val="00FE3203"/>
    <w:rsid w:val="00FE3A0C"/>
    <w:rsid w:val="00FE482D"/>
    <w:rsid w:val="00FE4F20"/>
    <w:rsid w:val="00FE5558"/>
    <w:rsid w:val="00FF00C8"/>
    <w:rsid w:val="00FF083D"/>
    <w:rsid w:val="00FF13C5"/>
    <w:rsid w:val="00FF3999"/>
    <w:rsid w:val="00FF5559"/>
    <w:rsid w:val="00FF6581"/>
    <w:rsid w:val="00FF7BFC"/>
    <w:rsid w:val="00FF7EAD"/>
    <w:rsid w:val="2EDD59AC"/>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99" w:name="toc 1"/>
    <w:lsdException w:unhideWhenUsed="0" w:uiPriority="99" w:name="toc 2"/>
    <w:lsdException w:qFormat="1" w:unhideWhenUsed="0" w:uiPriority="99" w:name="toc 3"/>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nhideWhenUsed="0" w:uiPriority="99" w:name="annotation text"/>
    <w:lsdException w:qFormat="1" w:unhideWhenUsed="0" w:uiPriority="99" w:semiHidden="0" w:name="header"/>
    <w:lsdException w:unhideWhenUsed="0"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qFormat="1" w:unhideWhenUsed="0"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semiHidden="0" w:name="Hyperlink"/>
    <w:lsdException w:qFormat="1" w:unhideWhenUsed="0" w:uiPriority="99" w:name="FollowedHyperlink"/>
    <w:lsdException w:qFormat="1" w:unhideWhenUsed="0" w:uiPriority="99" w:semiHidden="0" w:name="Strong"/>
    <w:lsdException w:qFormat="1" w:unhideWhenUsed="0" w:uiPriority="0" w:semiHidden="0" w:name="Emphasis" w:locked="1"/>
    <w:lsdException w:qFormat="1" w:unhideWhenUsed="0"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仿宋" w:cs="Times New Roman"/>
      <w:kern w:val="2"/>
      <w:sz w:val="28"/>
      <w:szCs w:val="28"/>
      <w:lang w:val="en-US" w:eastAsia="zh-CN" w:bidi="ar-SA"/>
    </w:rPr>
  </w:style>
  <w:style w:type="paragraph" w:styleId="2">
    <w:name w:val="heading 1"/>
    <w:basedOn w:val="1"/>
    <w:next w:val="1"/>
    <w:link w:val="27"/>
    <w:qFormat/>
    <w:uiPriority w:val="99"/>
    <w:pPr>
      <w:keepNext/>
      <w:keepLines/>
      <w:spacing w:before="240" w:after="240"/>
      <w:ind w:firstLine="0" w:firstLineChars="0"/>
      <w:outlineLvl w:val="0"/>
    </w:pPr>
    <w:rPr>
      <w:b/>
      <w:bCs/>
      <w:kern w:val="44"/>
      <w:sz w:val="32"/>
      <w:szCs w:val="32"/>
    </w:rPr>
  </w:style>
  <w:style w:type="paragraph" w:styleId="3">
    <w:name w:val="heading 2"/>
    <w:basedOn w:val="1"/>
    <w:next w:val="1"/>
    <w:link w:val="28"/>
    <w:qFormat/>
    <w:uiPriority w:val="99"/>
    <w:pPr>
      <w:keepNext/>
      <w:keepLines/>
      <w:spacing w:before="120" w:after="120"/>
      <w:ind w:firstLine="0" w:firstLineChars="0"/>
      <w:outlineLvl w:val="1"/>
    </w:pPr>
    <w:rPr>
      <w:b/>
      <w:bCs/>
      <w:sz w:val="30"/>
      <w:szCs w:val="30"/>
    </w:rPr>
  </w:style>
  <w:style w:type="paragraph" w:styleId="4">
    <w:name w:val="heading 3"/>
    <w:basedOn w:val="1"/>
    <w:next w:val="1"/>
    <w:link w:val="29"/>
    <w:qFormat/>
    <w:uiPriority w:val="99"/>
    <w:pPr>
      <w:keepNext/>
      <w:keepLines/>
      <w:spacing w:before="120" w:line="240" w:lineRule="auto"/>
      <w:ind w:firstLine="0" w:firstLineChars="0"/>
      <w:outlineLvl w:val="2"/>
    </w:pPr>
    <w:rPr>
      <w:b/>
      <w:bCs/>
    </w:rPr>
  </w:style>
  <w:style w:type="paragraph" w:styleId="5">
    <w:name w:val="heading 4"/>
    <w:basedOn w:val="1"/>
    <w:next w:val="1"/>
    <w:link w:val="30"/>
    <w:qFormat/>
    <w:uiPriority w:val="99"/>
    <w:pPr>
      <w:keepNext/>
      <w:keepLines/>
      <w:adjustRightInd w:val="0"/>
      <w:snapToGrid w:val="0"/>
      <w:spacing w:beforeLines="50"/>
      <w:ind w:firstLine="0" w:firstLineChars="0"/>
      <w:jc w:val="center"/>
      <w:outlineLvl w:val="3"/>
    </w:pPr>
    <w:rPr>
      <w:b/>
      <w:bCs/>
      <w:sz w:val="24"/>
      <w:szCs w:val="24"/>
    </w:rPr>
  </w:style>
  <w:style w:type="paragraph" w:styleId="6">
    <w:name w:val="heading 5"/>
    <w:basedOn w:val="1"/>
    <w:next w:val="1"/>
    <w:link w:val="31"/>
    <w:qFormat/>
    <w:uiPriority w:val="99"/>
    <w:pPr>
      <w:keepNext/>
      <w:keepLines/>
      <w:spacing w:before="280" w:after="290" w:line="376" w:lineRule="auto"/>
      <w:outlineLvl w:val="4"/>
    </w:pPr>
    <w:rPr>
      <w:b/>
      <w:bCs/>
    </w:rPr>
  </w:style>
  <w:style w:type="character" w:default="1" w:styleId="22">
    <w:name w:val="Default Paragraph Font"/>
    <w:semiHidden/>
    <w:qFormat/>
    <w:uiPriority w:val="99"/>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link w:val="40"/>
    <w:qFormat/>
    <w:uiPriority w:val="99"/>
    <w:pPr>
      <w:widowControl/>
      <w:spacing w:line="240" w:lineRule="auto"/>
      <w:ind w:firstLine="0" w:firstLineChars="0"/>
      <w:jc w:val="center"/>
    </w:pPr>
    <w:rPr>
      <w:rFonts w:eastAsia="等线"/>
      <w:b/>
      <w:bCs/>
      <w:kern w:val="0"/>
      <w:sz w:val="21"/>
      <w:szCs w:val="21"/>
    </w:rPr>
  </w:style>
  <w:style w:type="paragraph" w:styleId="8">
    <w:name w:val="Document Map"/>
    <w:basedOn w:val="1"/>
    <w:link w:val="59"/>
    <w:semiHidden/>
    <w:qFormat/>
    <w:uiPriority w:val="99"/>
    <w:rPr>
      <w:rFonts w:ascii="宋体" w:eastAsia="宋体" w:cs="宋体"/>
      <w:sz w:val="18"/>
      <w:szCs w:val="18"/>
    </w:rPr>
  </w:style>
  <w:style w:type="paragraph" w:styleId="9">
    <w:name w:val="annotation text"/>
    <w:basedOn w:val="1"/>
    <w:link w:val="33"/>
    <w:semiHidden/>
    <w:uiPriority w:val="99"/>
    <w:pPr>
      <w:jc w:val="left"/>
    </w:pPr>
  </w:style>
  <w:style w:type="paragraph" w:styleId="10">
    <w:name w:val="toc 3"/>
    <w:basedOn w:val="1"/>
    <w:next w:val="1"/>
    <w:semiHidden/>
    <w:qFormat/>
    <w:uiPriority w:val="99"/>
    <w:pPr>
      <w:ind w:left="840" w:leftChars="400"/>
    </w:pPr>
  </w:style>
  <w:style w:type="paragraph" w:styleId="11">
    <w:name w:val="Date"/>
    <w:basedOn w:val="1"/>
    <w:next w:val="1"/>
    <w:link w:val="58"/>
    <w:semiHidden/>
    <w:qFormat/>
    <w:uiPriority w:val="99"/>
    <w:pPr>
      <w:ind w:left="100" w:leftChars="2500"/>
    </w:pPr>
  </w:style>
  <w:style w:type="paragraph" w:styleId="12">
    <w:name w:val="Balloon Text"/>
    <w:basedOn w:val="1"/>
    <w:link w:val="32"/>
    <w:semiHidden/>
    <w:qFormat/>
    <w:uiPriority w:val="99"/>
    <w:rPr>
      <w:sz w:val="18"/>
      <w:szCs w:val="18"/>
    </w:rPr>
  </w:style>
  <w:style w:type="paragraph" w:styleId="13">
    <w:name w:val="footer"/>
    <w:basedOn w:val="1"/>
    <w:link w:val="36"/>
    <w:uiPriority w:val="99"/>
    <w:pPr>
      <w:tabs>
        <w:tab w:val="center" w:pos="4153"/>
        <w:tab w:val="right" w:pos="8306"/>
      </w:tabs>
      <w:snapToGrid w:val="0"/>
      <w:jc w:val="left"/>
    </w:pPr>
    <w:rPr>
      <w:sz w:val="18"/>
      <w:szCs w:val="18"/>
    </w:rPr>
  </w:style>
  <w:style w:type="paragraph" w:styleId="14">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semiHidden/>
    <w:qFormat/>
    <w:uiPriority w:val="99"/>
    <w:pPr>
      <w:tabs>
        <w:tab w:val="right" w:leader="dot" w:pos="8296"/>
      </w:tabs>
      <w:ind w:firstLine="560"/>
    </w:pPr>
  </w:style>
  <w:style w:type="paragraph" w:styleId="16">
    <w:name w:val="Subtitle"/>
    <w:basedOn w:val="1"/>
    <w:next w:val="1"/>
    <w:link w:val="45"/>
    <w:qFormat/>
    <w:uiPriority w:val="99"/>
    <w:pPr>
      <w:spacing w:before="240" w:after="60" w:line="312" w:lineRule="auto"/>
      <w:jc w:val="center"/>
      <w:outlineLvl w:val="1"/>
    </w:pPr>
    <w:rPr>
      <w:rFonts w:ascii="等线" w:hAnsi="等线" w:eastAsia="等线" w:cs="等线"/>
      <w:b/>
      <w:bCs/>
      <w:kern w:val="28"/>
      <w:sz w:val="32"/>
      <w:szCs w:val="32"/>
    </w:rPr>
  </w:style>
  <w:style w:type="paragraph" w:styleId="17">
    <w:name w:val="toc 2"/>
    <w:basedOn w:val="1"/>
    <w:next w:val="1"/>
    <w:semiHidden/>
    <w:uiPriority w:val="99"/>
    <w:pPr>
      <w:ind w:left="420" w:leftChars="200"/>
    </w:pPr>
  </w:style>
  <w:style w:type="paragraph" w:styleId="18">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9">
    <w:name w:val="annotation subject"/>
    <w:basedOn w:val="9"/>
    <w:next w:val="9"/>
    <w:link w:val="34"/>
    <w:semiHidden/>
    <w:uiPriority w:val="99"/>
    <w:rPr>
      <w:b/>
      <w:bCs/>
    </w:rPr>
  </w:style>
  <w:style w:type="table" w:styleId="21">
    <w:name w:val="Table Grid"/>
    <w:basedOn w:val="20"/>
    <w:qFormat/>
    <w:uiPriority w:val="99"/>
    <w:pPr>
      <w:widowControl w:val="0"/>
      <w:jc w:val="both"/>
    </w:pPr>
    <w:rPr>
      <w:rFonts w:cs="等线"/>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Strong"/>
    <w:basedOn w:val="22"/>
    <w:qFormat/>
    <w:uiPriority w:val="99"/>
    <w:rPr>
      <w:b/>
      <w:bCs/>
    </w:rPr>
  </w:style>
  <w:style w:type="character" w:styleId="24">
    <w:name w:val="FollowedHyperlink"/>
    <w:basedOn w:val="22"/>
    <w:semiHidden/>
    <w:qFormat/>
    <w:uiPriority w:val="99"/>
    <w:rPr>
      <w:color w:val="auto"/>
      <w:u w:val="single"/>
    </w:rPr>
  </w:style>
  <w:style w:type="character" w:styleId="25">
    <w:name w:val="Hyperlink"/>
    <w:basedOn w:val="22"/>
    <w:uiPriority w:val="99"/>
    <w:rPr>
      <w:color w:val="auto"/>
      <w:u w:val="single"/>
    </w:rPr>
  </w:style>
  <w:style w:type="character" w:styleId="26">
    <w:name w:val="annotation reference"/>
    <w:basedOn w:val="22"/>
    <w:semiHidden/>
    <w:qFormat/>
    <w:uiPriority w:val="99"/>
    <w:rPr>
      <w:sz w:val="21"/>
      <w:szCs w:val="21"/>
    </w:rPr>
  </w:style>
  <w:style w:type="character" w:customStyle="1" w:styleId="27">
    <w:name w:val="Heading 1 Char"/>
    <w:basedOn w:val="22"/>
    <w:link w:val="2"/>
    <w:locked/>
    <w:uiPriority w:val="99"/>
    <w:rPr>
      <w:rFonts w:ascii="Times New Roman" w:hAnsi="Times New Roman" w:eastAsia="宋体" w:cs="Times New Roman"/>
      <w:b/>
      <w:bCs/>
      <w:kern w:val="44"/>
      <w:sz w:val="44"/>
      <w:szCs w:val="44"/>
    </w:rPr>
  </w:style>
  <w:style w:type="character" w:customStyle="1" w:styleId="28">
    <w:name w:val="Heading 2 Char"/>
    <w:basedOn w:val="22"/>
    <w:link w:val="3"/>
    <w:locked/>
    <w:uiPriority w:val="99"/>
    <w:rPr>
      <w:rFonts w:ascii="Times New Roman" w:hAnsi="Times New Roman" w:eastAsia="宋体" w:cs="Times New Roman"/>
      <w:b/>
      <w:bCs/>
      <w:sz w:val="32"/>
      <w:szCs w:val="32"/>
    </w:rPr>
  </w:style>
  <w:style w:type="character" w:customStyle="1" w:styleId="29">
    <w:name w:val="Heading 3 Char"/>
    <w:basedOn w:val="22"/>
    <w:link w:val="4"/>
    <w:locked/>
    <w:uiPriority w:val="99"/>
    <w:rPr>
      <w:rFonts w:ascii="Times New Roman" w:hAnsi="Times New Roman" w:eastAsia="宋体" w:cs="Times New Roman"/>
      <w:b/>
      <w:bCs/>
      <w:sz w:val="32"/>
      <w:szCs w:val="32"/>
    </w:rPr>
  </w:style>
  <w:style w:type="character" w:customStyle="1" w:styleId="30">
    <w:name w:val="Heading 4 Char"/>
    <w:basedOn w:val="22"/>
    <w:link w:val="5"/>
    <w:locked/>
    <w:uiPriority w:val="99"/>
    <w:rPr>
      <w:rFonts w:ascii="Times New Roman" w:hAnsi="Times New Roman" w:eastAsia="仿宋" w:cs="Times New Roman"/>
      <w:b/>
      <w:bCs/>
      <w:sz w:val="28"/>
      <w:szCs w:val="28"/>
    </w:rPr>
  </w:style>
  <w:style w:type="character" w:customStyle="1" w:styleId="31">
    <w:name w:val="Heading 5 Char"/>
    <w:basedOn w:val="22"/>
    <w:link w:val="6"/>
    <w:locked/>
    <w:uiPriority w:val="99"/>
    <w:rPr>
      <w:rFonts w:ascii="Times New Roman" w:hAnsi="Times New Roman" w:eastAsia="宋体" w:cs="Times New Roman"/>
      <w:b/>
      <w:bCs/>
      <w:sz w:val="28"/>
      <w:szCs w:val="28"/>
    </w:rPr>
  </w:style>
  <w:style w:type="character" w:customStyle="1" w:styleId="32">
    <w:name w:val="Balloon Text Char"/>
    <w:basedOn w:val="22"/>
    <w:link w:val="12"/>
    <w:semiHidden/>
    <w:locked/>
    <w:uiPriority w:val="99"/>
    <w:rPr>
      <w:sz w:val="18"/>
      <w:szCs w:val="18"/>
    </w:rPr>
  </w:style>
  <w:style w:type="character" w:customStyle="1" w:styleId="33">
    <w:name w:val="Comment Text Char"/>
    <w:basedOn w:val="22"/>
    <w:link w:val="9"/>
    <w:locked/>
    <w:uiPriority w:val="99"/>
  </w:style>
  <w:style w:type="character" w:customStyle="1" w:styleId="34">
    <w:name w:val="Comment Subject Char"/>
    <w:basedOn w:val="33"/>
    <w:link w:val="19"/>
    <w:semiHidden/>
    <w:locked/>
    <w:uiPriority w:val="99"/>
    <w:rPr>
      <w:b/>
      <w:bCs/>
    </w:rPr>
  </w:style>
  <w:style w:type="character" w:customStyle="1" w:styleId="35">
    <w:name w:val="Header Char"/>
    <w:basedOn w:val="22"/>
    <w:link w:val="14"/>
    <w:locked/>
    <w:uiPriority w:val="99"/>
    <w:rPr>
      <w:sz w:val="18"/>
      <w:szCs w:val="18"/>
    </w:rPr>
  </w:style>
  <w:style w:type="character" w:customStyle="1" w:styleId="36">
    <w:name w:val="Footer Char"/>
    <w:basedOn w:val="22"/>
    <w:link w:val="13"/>
    <w:qFormat/>
    <w:locked/>
    <w:uiPriority w:val="99"/>
    <w:rPr>
      <w:sz w:val="18"/>
      <w:szCs w:val="18"/>
    </w:rPr>
  </w:style>
  <w:style w:type="paragraph" w:customStyle="1" w:styleId="37">
    <w:name w:val="TOC Heading"/>
    <w:basedOn w:val="2"/>
    <w:next w:val="1"/>
    <w:qFormat/>
    <w:uiPriority w:val="99"/>
    <w:pPr>
      <w:widowControl/>
      <w:spacing w:after="0" w:line="259" w:lineRule="auto"/>
      <w:jc w:val="left"/>
      <w:outlineLvl w:val="9"/>
    </w:pPr>
    <w:rPr>
      <w:rFonts w:ascii="等线 Light" w:hAnsi="等线 Light" w:eastAsia="等线 Light" w:cs="等线 Light"/>
      <w:b w:val="0"/>
      <w:bCs w:val="0"/>
      <w:color w:val="2F5496"/>
      <w:kern w:val="0"/>
    </w:rPr>
  </w:style>
  <w:style w:type="paragraph" w:customStyle="1" w:styleId="38">
    <w:name w:val="Revision"/>
    <w:hidden/>
    <w:semiHidden/>
    <w:uiPriority w:val="99"/>
    <w:rPr>
      <w:rFonts w:ascii="Times New Roman" w:hAnsi="Times New Roman" w:eastAsia="宋体" w:cs="Times New Roman"/>
      <w:kern w:val="2"/>
      <w:sz w:val="28"/>
      <w:szCs w:val="28"/>
      <w:lang w:val="en-US" w:eastAsia="zh-CN" w:bidi="ar-SA"/>
    </w:rPr>
  </w:style>
  <w:style w:type="table" w:customStyle="1" w:styleId="39">
    <w:name w:val="网格型1"/>
    <w:qFormat/>
    <w:uiPriority w:val="99"/>
    <w:pPr>
      <w:widowControl w:val="0"/>
      <w:jc w:val="both"/>
    </w:pPr>
    <w:rPr>
      <w:rFonts w:cs="等线"/>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40">
    <w:name w:val="Caption Char"/>
    <w:link w:val="7"/>
    <w:qFormat/>
    <w:locked/>
    <w:uiPriority w:val="99"/>
    <w:rPr>
      <w:rFonts w:ascii="Times New Roman" w:hAnsi="Times New Roman" w:cs="Times New Roman"/>
      <w:b/>
      <w:bCs/>
      <w:kern w:val="0"/>
      <w:sz w:val="21"/>
      <w:szCs w:val="21"/>
    </w:rPr>
  </w:style>
  <w:style w:type="paragraph" w:customStyle="1" w:styleId="41">
    <w:name w:val="T表格"/>
    <w:qFormat/>
    <w:uiPriority w:val="99"/>
    <w:pPr>
      <w:jc w:val="center"/>
    </w:pPr>
    <w:rPr>
      <w:rFonts w:ascii="Times New Roman" w:hAnsi="Times New Roman" w:eastAsia="宋体" w:cs="Times New Roman"/>
      <w:kern w:val="0"/>
      <w:sz w:val="21"/>
      <w:szCs w:val="21"/>
      <w:lang w:val="en-US" w:eastAsia="zh-CN" w:bidi="ar-SA"/>
    </w:rPr>
  </w:style>
  <w:style w:type="paragraph" w:customStyle="1" w:styleId="42">
    <w:name w:val="0正文"/>
    <w:basedOn w:val="1"/>
    <w:qFormat/>
    <w:uiPriority w:val="99"/>
    <w:pPr>
      <w:ind w:firstLine="720"/>
    </w:pPr>
    <w:rPr>
      <w:rFonts w:eastAsia="宋体"/>
      <w:sz w:val="24"/>
      <w:szCs w:val="24"/>
    </w:rPr>
  </w:style>
  <w:style w:type="paragraph" w:styleId="43">
    <w:name w:val="List Paragraph"/>
    <w:basedOn w:val="1"/>
    <w:qFormat/>
    <w:uiPriority w:val="99"/>
    <w:pPr>
      <w:widowControl/>
      <w:adjustRightInd w:val="0"/>
      <w:snapToGrid w:val="0"/>
      <w:spacing w:after="200" w:line="240" w:lineRule="auto"/>
      <w:ind w:firstLine="420"/>
      <w:jc w:val="left"/>
    </w:pPr>
    <w:rPr>
      <w:rFonts w:ascii="Tahoma" w:hAnsi="Tahoma" w:eastAsia="微软雅黑" w:cs="Tahoma"/>
      <w:kern w:val="0"/>
      <w:sz w:val="22"/>
      <w:szCs w:val="22"/>
    </w:rPr>
  </w:style>
  <w:style w:type="paragraph" w:styleId="44">
    <w:name w:val="No Spacing"/>
    <w:qFormat/>
    <w:uiPriority w:val="99"/>
    <w:rPr>
      <w:rFonts w:ascii="宋体" w:hAnsi="宋体" w:eastAsia="宋体" w:cs="宋体"/>
      <w:kern w:val="0"/>
      <w:sz w:val="24"/>
      <w:szCs w:val="24"/>
      <w:lang w:val="en-US" w:eastAsia="zh-CN" w:bidi="ar-SA"/>
    </w:rPr>
  </w:style>
  <w:style w:type="character" w:customStyle="1" w:styleId="45">
    <w:name w:val="Subtitle Char"/>
    <w:basedOn w:val="22"/>
    <w:link w:val="16"/>
    <w:qFormat/>
    <w:locked/>
    <w:uiPriority w:val="99"/>
    <w:rPr>
      <w:b/>
      <w:bCs/>
      <w:kern w:val="28"/>
      <w:sz w:val="32"/>
      <w:szCs w:val="32"/>
    </w:rPr>
  </w:style>
  <w:style w:type="paragraph" w:customStyle="1" w:styleId="46">
    <w:name w:val="msonormal"/>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47">
    <w:name w:val="font5"/>
    <w:basedOn w:val="1"/>
    <w:qFormat/>
    <w:uiPriority w:val="99"/>
    <w:pPr>
      <w:widowControl/>
      <w:spacing w:before="100" w:beforeAutospacing="1" w:after="100" w:afterAutospacing="1" w:line="240" w:lineRule="auto"/>
      <w:ind w:firstLine="0" w:firstLineChars="0"/>
      <w:jc w:val="left"/>
    </w:pPr>
    <w:rPr>
      <w:rFonts w:ascii="等线" w:hAnsi="等线" w:eastAsia="等线" w:cs="等线"/>
      <w:kern w:val="0"/>
      <w:sz w:val="18"/>
      <w:szCs w:val="18"/>
    </w:rPr>
  </w:style>
  <w:style w:type="paragraph" w:customStyle="1" w:styleId="48">
    <w:name w:val="font6"/>
    <w:basedOn w:val="1"/>
    <w:qFormat/>
    <w:uiPriority w:val="99"/>
    <w:pPr>
      <w:widowControl/>
      <w:spacing w:before="100" w:beforeAutospacing="1" w:after="100" w:afterAutospacing="1" w:line="240" w:lineRule="auto"/>
      <w:ind w:firstLine="0" w:firstLineChars="0"/>
      <w:jc w:val="left"/>
    </w:pPr>
    <w:rPr>
      <w:rFonts w:ascii="Calibri" w:hAnsi="Calibri" w:eastAsia="宋体" w:cs="Calibri"/>
      <w:color w:val="000000"/>
      <w:kern w:val="0"/>
      <w:sz w:val="18"/>
      <w:szCs w:val="18"/>
    </w:rPr>
  </w:style>
  <w:style w:type="paragraph" w:customStyle="1" w:styleId="49">
    <w:name w:val="font7"/>
    <w:basedOn w:val="1"/>
    <w:qFormat/>
    <w:uiPriority w:val="99"/>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50">
    <w:name w:val="xl63"/>
    <w:basedOn w:val="1"/>
    <w:qFormat/>
    <w:uiPriority w:val="99"/>
    <w:pPr>
      <w:widowControl/>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51">
    <w:name w:val="xl64"/>
    <w:basedOn w:val="1"/>
    <w:qFormat/>
    <w:uiPriority w:val="99"/>
    <w:pPr>
      <w:widowControl/>
      <w:pBdr>
        <w:top w:val="single" w:color="000000" w:sz="4" w:space="0"/>
        <w:bottom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paragraph" w:customStyle="1" w:styleId="52">
    <w:name w:val="xl65"/>
    <w:basedOn w:val="1"/>
    <w:qFormat/>
    <w:uiPriority w:val="99"/>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paragraph" w:customStyle="1" w:styleId="53">
    <w:name w:val="xl66"/>
    <w:basedOn w:val="1"/>
    <w:qFormat/>
    <w:uiPriority w:val="99"/>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paragraph" w:customStyle="1" w:styleId="54">
    <w:name w:val="xl67"/>
    <w:basedOn w:val="1"/>
    <w:qFormat/>
    <w:uiPriority w:val="99"/>
    <w:pPr>
      <w:widowControl/>
      <w:pBdr>
        <w:top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paragraph" w:customStyle="1" w:styleId="55">
    <w:name w:val="xl68"/>
    <w:basedOn w:val="1"/>
    <w:qFormat/>
    <w:uiPriority w:val="99"/>
    <w:pPr>
      <w:widowControl/>
      <w:pBdr>
        <w:bottom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paragraph" w:customStyle="1" w:styleId="56">
    <w:name w:val="xl69"/>
    <w:basedOn w:val="1"/>
    <w:qFormat/>
    <w:uiPriority w:val="99"/>
    <w:pPr>
      <w:widowControl/>
      <w:pBdr>
        <w:top w:val="single" w:color="auto" w:sz="4" w:space="0"/>
        <w:left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宋体" w:hAnsi="宋体" w:eastAsia="宋体" w:cs="宋体"/>
      <w:color w:val="000000"/>
      <w:kern w:val="0"/>
      <w:sz w:val="18"/>
      <w:szCs w:val="18"/>
    </w:rPr>
  </w:style>
  <w:style w:type="paragraph" w:customStyle="1" w:styleId="57">
    <w:name w:val="xl70"/>
    <w:basedOn w:val="1"/>
    <w:qFormat/>
    <w:uiPriority w:val="99"/>
    <w:pPr>
      <w:widowControl/>
      <w:pBdr>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Calibri"/>
      <w:color w:val="000000"/>
      <w:kern w:val="0"/>
      <w:sz w:val="18"/>
      <w:szCs w:val="18"/>
    </w:rPr>
  </w:style>
  <w:style w:type="character" w:customStyle="1" w:styleId="58">
    <w:name w:val="Date Char"/>
    <w:basedOn w:val="22"/>
    <w:link w:val="11"/>
    <w:semiHidden/>
    <w:qFormat/>
    <w:locked/>
    <w:uiPriority w:val="99"/>
    <w:rPr>
      <w:rFonts w:ascii="Times New Roman" w:hAnsi="Times New Roman" w:eastAsia="仿宋" w:cs="Times New Roman"/>
      <w:sz w:val="28"/>
      <w:szCs w:val="28"/>
    </w:rPr>
  </w:style>
  <w:style w:type="character" w:customStyle="1" w:styleId="59">
    <w:name w:val="Document Map Char"/>
    <w:basedOn w:val="22"/>
    <w:link w:val="8"/>
    <w:semiHidden/>
    <w:qFormat/>
    <w:locked/>
    <w:uiPriority w:val="99"/>
    <w:rPr>
      <w:rFonts w:ascii="宋体" w:hAnsi="Times New Roman" w:eastAsia="宋体" w:cs="宋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pn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image" Target="media/image7.emf"/><Relationship Id="rId17" Type="http://schemas.openxmlformats.org/officeDocument/2006/relationships/image" Target="media/image6.emf"/><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emf"/><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Microsoft</Company>
  <Pages>120</Pages>
  <Words>8205</Words>
  <Lines>0</Lines>
  <Paragraphs>0</Paragraphs>
  <TotalTime>50</TotalTime>
  <ScaleCrop>false</ScaleCrop>
  <LinksUpToDate>false</LinksUpToDate>
  <CharactersWithSpaces>0</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2021-12-21T04:38:00Z</dcterms:created>
  <dc:creator>Administrator</dc:creator>
  <cp:lastModifiedBy>Administrator</cp:lastModifiedBy>
  <cp:lastPrinted>2021-12-21T06:52:00Z</cp:lastPrinted>
  <dcterms:modified xsi:type="dcterms:W3CDTF">2023-09-18T06:41:01Z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61718C6EACA0458EAECE191CC3EF5738_12</vt:lpwstr>
  </property>
</Properties>
</file>