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="420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D71BB8">
        <w:rPr>
          <w:rStyle w:val="a5"/>
          <w:rFonts w:ascii="方正小标宋简体" w:eastAsia="方正小标宋简体" w:hAnsi="宋体" w:cs="宋体" w:hint="eastAsia"/>
          <w:i w:val="0"/>
          <w:sz w:val="44"/>
          <w:szCs w:val="44"/>
          <w:shd w:val="clear" w:color="auto" w:fill="FFFFFF"/>
        </w:rPr>
        <w:t>沈阳市生态环境局关于印发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="420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D71BB8">
        <w:rPr>
          <w:rStyle w:val="a5"/>
          <w:rFonts w:ascii="方正小标宋简体" w:eastAsia="方正小标宋简体" w:hAnsi="宋体" w:cs="宋体" w:hint="eastAsia"/>
          <w:i w:val="0"/>
          <w:sz w:val="44"/>
          <w:szCs w:val="44"/>
          <w:shd w:val="clear" w:color="auto" w:fill="FFFFFF"/>
        </w:rPr>
        <w:t>《沈阳市生态环境执法免罚清单（暂行）》的通知</w:t>
      </w:r>
    </w:p>
    <w:p w:rsidR="00493E7A" w:rsidRPr="00D71BB8" w:rsidRDefault="00493E7A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="420"/>
        <w:jc w:val="center"/>
        <w:rPr>
          <w:rFonts w:ascii="宋体" w:eastAsia="宋体" w:hAnsi="宋体" w:cs="宋体"/>
          <w:sz w:val="44"/>
          <w:szCs w:val="44"/>
        </w:rPr>
      </w:pP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各生态环境分局，机关各处室，市生态环境保护行政综合执法队：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为在生态环境领域推行包容审慎监管、宽严相济执法，引导和促进企业自觉守法，激发市场主体活力，进一步规范行政处罚自由裁量权适用，不断优化营商环境，根据《中华人民共和国行政处罚法》《辽宁省优化营商环境条例》《关于进一步规范适用环境行政处罚自由裁量权的指导意见》等法律、法规、规章及规定，现将市局制定的《沈阳市生态环境执法免罚清单（暂行）》（以下简称《清单》）印发给你们，请遵照执行，并就做好有关工作明确如下：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黑体" w:eastAsia="黑体" w:hAnsi="黑体" w:cs="仿宋"/>
          <w:sz w:val="32"/>
          <w:szCs w:val="32"/>
        </w:rPr>
      </w:pPr>
      <w:r w:rsidRPr="00D71BB8">
        <w:rPr>
          <w:rStyle w:val="a5"/>
          <w:rFonts w:ascii="黑体" w:eastAsia="黑体" w:hAnsi="黑体" w:cs="仿宋" w:hint="eastAsia"/>
          <w:i w:val="0"/>
          <w:sz w:val="32"/>
          <w:szCs w:val="32"/>
          <w:shd w:val="clear" w:color="auto" w:fill="FFFFFF"/>
        </w:rPr>
        <w:t>一、加强组织学习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《清单》在总结我市工作实践经验的基础上，列举了对违法排污当事人轻微违法行为免予行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政处罚和例外情形规定。各执法单位要组织全体执法人员认真学习掌握《清单》内容，熟悉具体运用条件，严格把握执法标准。对符合《清单》规定情形的违法行为，各执法单位应依法按程序</w:t>
      </w:r>
      <w:proofErr w:type="gramStart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作出</w:t>
      </w:r>
      <w:proofErr w:type="gramEnd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免予行政处罚的决定。各执法单位在</w:t>
      </w:r>
      <w:proofErr w:type="gramStart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作出</w:t>
      </w:r>
      <w:proofErr w:type="gramEnd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决定前，应当责令当事人改正违法行为，教育、引导当事人自觉守法，</w:t>
      </w:r>
      <w:proofErr w:type="gramStart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作出</w:t>
      </w:r>
      <w:proofErr w:type="gramEnd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守法承诺。对当事人改正情况要依法及时进行复查，对不遵守承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lastRenderedPageBreak/>
        <w:t>诺的，应当依法予严惩，并记入社会信用档案，进行联合惩戒。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Style w:val="a5"/>
          <w:rFonts w:ascii="黑体" w:eastAsia="黑体" w:hAnsi="黑体"/>
          <w:shd w:val="clear" w:color="auto" w:fill="FFFFFF"/>
        </w:rPr>
      </w:pPr>
      <w:r w:rsidRPr="00D71BB8">
        <w:rPr>
          <w:rStyle w:val="a5"/>
          <w:rFonts w:ascii="黑体" w:eastAsia="黑体" w:hAnsi="黑体" w:cs="仿宋" w:hint="eastAsia"/>
          <w:i w:val="0"/>
          <w:sz w:val="32"/>
          <w:szCs w:val="32"/>
          <w:shd w:val="clear" w:color="auto" w:fill="FFFFFF"/>
        </w:rPr>
        <w:t>二、严格办案程序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在调查取证环节，要进行案件全过程记录，对免予处罚的情节事实进行详实取证；在案件处理环节，要认真核实相关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证据，准确适用法律，不得任意放宽或收紧标准，案件须</w:t>
      </w:r>
      <w:proofErr w:type="gramStart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经由本</w:t>
      </w:r>
      <w:proofErr w:type="gramEnd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单位负责人集体审议后作出决定。对于免予处罚的，要下达不予处罚决定书，载明违法的事实、不予处罚的理由及决定。不予处罚决定书须经法制审核，并依法公开公示。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Style w:val="a5"/>
          <w:rFonts w:ascii="黑体" w:eastAsia="黑体" w:hAnsi="黑体"/>
          <w:shd w:val="clear" w:color="auto" w:fill="FFFFFF"/>
        </w:rPr>
      </w:pPr>
      <w:r w:rsidRPr="00D71BB8">
        <w:rPr>
          <w:rStyle w:val="a5"/>
          <w:rFonts w:ascii="黑体" w:eastAsia="黑体" w:hAnsi="黑体" w:cs="仿宋" w:hint="eastAsia"/>
          <w:i w:val="0"/>
          <w:sz w:val="32"/>
          <w:szCs w:val="32"/>
          <w:shd w:val="clear" w:color="auto" w:fill="FFFFFF"/>
        </w:rPr>
        <w:t>三、注重研究完善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各执法单位要结合实际，及时总结执法经验，深入研究，积极反馈，不断丰富完善《清单》，使环境执法真正达到法律效果、环境效果与社会效果的统一。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本通知自印发之日起施行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,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有效期一年。已立案但尚未</w:t>
      </w:r>
      <w:proofErr w:type="gramStart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作出</w:t>
      </w:r>
      <w:proofErr w:type="gramEnd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行政处罚决定的环境违法案件可以适用本《清单》。本通知未规定事宜或实施后因上级法律、法规、规章及政策调整导致本通知规定与上级规定不一致的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,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适用上级规定。</w:t>
      </w:r>
    </w:p>
    <w:p w:rsidR="00493E7A" w:rsidRDefault="00493E7A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p w:rsid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p w:rsidR="00D71BB8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1550" w:firstLine="4960"/>
        <w:jc w:val="both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沈阳市生态环境局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1600" w:firstLine="5120"/>
        <w:jc w:val="both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2020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年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9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月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19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日</w:t>
      </w:r>
    </w:p>
    <w:p w:rsidR="00493E7A" w:rsidRPr="00D71BB8" w:rsidRDefault="00493E7A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="420"/>
        <w:rPr>
          <w:rFonts w:ascii="仿宋" w:eastAsia="仿宋" w:hAnsi="仿宋" w:cs="仿宋"/>
          <w:sz w:val="32"/>
          <w:szCs w:val="32"/>
        </w:rPr>
      </w:pPr>
    </w:p>
    <w:p w:rsidR="00493E7A" w:rsidRPr="00D71BB8" w:rsidRDefault="00493E7A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="420"/>
        <w:rPr>
          <w:rFonts w:ascii="仿宋" w:eastAsia="仿宋" w:hAnsi="仿宋" w:cs="仿宋"/>
          <w:sz w:val="32"/>
          <w:szCs w:val="32"/>
        </w:rPr>
      </w:pP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="420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D71BB8">
        <w:rPr>
          <w:rStyle w:val="a5"/>
          <w:rFonts w:ascii="方正小标宋简体" w:eastAsia="方正小标宋简体" w:hAnsi="宋体" w:cs="宋体" w:hint="eastAsia"/>
          <w:i w:val="0"/>
          <w:sz w:val="44"/>
          <w:szCs w:val="44"/>
          <w:shd w:val="clear" w:color="auto" w:fill="FFFFFF"/>
        </w:rPr>
        <w:lastRenderedPageBreak/>
        <w:t>沈阳市生态环境执法免罚清单（暂行）</w:t>
      </w:r>
    </w:p>
    <w:p w:rsidR="00493E7A" w:rsidRPr="00D71BB8" w:rsidRDefault="00493E7A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="420"/>
        <w:jc w:val="center"/>
        <w:rPr>
          <w:rFonts w:ascii="宋体" w:eastAsia="宋体" w:hAnsi="宋体" w:cs="宋体"/>
          <w:sz w:val="44"/>
          <w:szCs w:val="44"/>
        </w:rPr>
      </w:pP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="480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一、违法行为轻微并及时纠正，没有造成危害后果，承诺不再违法的，可不予行政处罚。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="480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（一）违反环境影响评价制度的行为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报告</w:t>
      </w:r>
      <w:proofErr w:type="gramStart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表项目</w:t>
      </w:r>
      <w:proofErr w:type="gramEnd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同时满足下列情形的，不予处罚：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1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．未依法报批建设项目环境影响报告表，擅自开工建设，未造成生态破坏与环境污染；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2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．建设项目处于基础建设阶段；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3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．责令停止建设后立即停止建设，对依法应当恢复原状的主动恢复原状；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4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．符合补办环</w:t>
      </w:r>
      <w:proofErr w:type="gramStart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评文件</w:t>
      </w:r>
      <w:proofErr w:type="gramEnd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要求。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未依法备案建设项目环境影响登记表，责令备案后在要求时限内完成备案的，可不予处罚。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="480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（二）违反“三同时”制度的行为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建设项目环境影响评价文件已经批复，需配套的环保设施未经验收，建设项目正式投入生产或使用，项目运行期间环保设施已按环评批复要求建成并正常运行，污染物达标排放，经责令改正，建设单位在整改要求期限内完成自主验收的。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未办理建设项目环境影响报告表，需配套的环保设施未经验收，建设项目正式投入生产或使用，项目运行期间环保设施建成并正常运行，污染物稳定达标排放，经责令改正，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lastRenderedPageBreak/>
        <w:t>建设单位在整改要求期限内完成自主验收，且符合补办环</w:t>
      </w:r>
      <w:proofErr w:type="gramStart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评文件</w:t>
      </w:r>
      <w:proofErr w:type="gramEnd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要求，在限期内补办环</w:t>
      </w:r>
      <w:proofErr w:type="gramStart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评文件</w:t>
      </w:r>
      <w:proofErr w:type="gramEnd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的，不再适用双罚。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="480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（三）不正常运行污染处理设施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因突发故障等非主观</w:t>
      </w:r>
      <w:proofErr w:type="gramStart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故意因素</w:t>
      </w:r>
      <w:proofErr w:type="gramEnd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导致污染防治设施不正常运行，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24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小时内及时报告并采取停、限产措施减少污染物排放，且日均值未超标的。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不正常</w:t>
      </w:r>
      <w:proofErr w:type="gramStart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使用焊烟收集</w:t>
      </w:r>
      <w:proofErr w:type="gramEnd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处理设施的焊机数量在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2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台以下，经现场检查指出后及时整改的。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（四）未密闭生产排放行为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未密闭易产生扬尘的物料，或未采取有效措施防治扬尘污染，未造成明显环境污染后果，经责令限期改正后及时完成整改的。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产生含挥发性有机物废气的生产和服务活动，依法应当在密闭空间或者设备中进行，未在密闭空间或者设备中进行，当场整改，且已按照规定安装、使用污染防治设施的。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对生产设施、设备维修实施刷漆补漆（如防锈蚀）或者焊接（维修部件）等不属于生产工艺、工序或者工段中的偶发性行为，未造成明显环境污染后果，经责令改正后能立即整改的。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（五）违反固体废物管理规范的行为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未设置或未规范设置危险废物识别标志等危险废物管理不规范行为，经现场检查指出后立即改正的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;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未按规定贮存危险废物，数量小于或等于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0.1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吨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(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剧毒、易燃易爆等存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lastRenderedPageBreak/>
        <w:t>在重大环境风险的除外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)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，经现场检查指出后立即改正，且未污染环境的。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（六）违反信息公开规定的行为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非</w:t>
      </w:r>
      <w:proofErr w:type="gramStart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属内容</w:t>
      </w:r>
      <w:proofErr w:type="gramEnd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弄虚作假，重点排污单位环境信息未及时公开或公开内容不全</w:t>
      </w: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，按要求及时完成整改的。生态环境局在法定公示期限届满前，已组织重点排污单位填报的除外。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（七）其他未造成生态破坏与环境污染，违法行为轻微，能</w:t>
      </w:r>
      <w:proofErr w:type="gramStart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立行立改的</w:t>
      </w:r>
      <w:proofErr w:type="gramEnd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。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二、当事人有以下情形之一的，不适用上述免予行政处罚的规定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（一）在饮用水水源保护区、自然保护区等需要特殊保护的区域内发生的环境违法行为。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（二）在专项执法行动中顶风作案的。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（三）以暴力、威胁或者其他方法阻碍、拒不接受环境监督检查或者突发环境事件调查，以及有弄虚作假逃避检查行为的。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（四）自</w:t>
      </w:r>
      <w:proofErr w:type="gramStart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作出</w:t>
      </w:r>
      <w:proofErr w:type="gramEnd"/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免予行政处罚之日起二年内再次出现环境违法行为的。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（五）同一时间检查发现存在两个或以上环境违法行为，其中一个环境违法行为存在上述情形的。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（六）三年内存在未按照法定期限，主动履行缴纳罚款义务行为的。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lastRenderedPageBreak/>
        <w:t>（七）环境违法行为造成较大影响的突发环境事件、环境群体性事件或者性质恶劣、后果严重等较大社会影响或有其他严重情节的。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三、对小型、微型企业，个体工商户违法行为的处罚</w:t>
      </w:r>
    </w:p>
    <w:p w:rsidR="00493E7A" w:rsidRPr="00D71BB8" w:rsidRDefault="00D71BB8" w:rsidP="00D71BB8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71BB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按照行政合理性原则，行使行政处罚自由裁量权，应当符合立法目的，充分考虑、全面衡量地区经济社会发展状况、执法对象情况、危害后果等相关因素，所采取的措施和手段应当必要、适当。对小型、微型企业，个体工商户初次违法，非主观恶意，未造成明显环境污染，未有合理群众信访，并能积极主动完成整改，主要以宣传、教育为主，可以不予处罚。对于故意逃避监管，恶意排污，屡教不改，尤其是造成破坏生态环境后果的，要坚决从严从重处罚，不得免予处罚。</w:t>
      </w:r>
    </w:p>
    <w:p w:rsidR="00493E7A" w:rsidRPr="00D71BB8" w:rsidRDefault="00493E7A" w:rsidP="00D71BB8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493E7A" w:rsidRPr="00D71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7A"/>
    <w:rsid w:val="00493E7A"/>
    <w:rsid w:val="00D71BB8"/>
    <w:rsid w:val="0768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 昊</cp:lastModifiedBy>
  <cp:revision>3</cp:revision>
  <dcterms:created xsi:type="dcterms:W3CDTF">2021-08-25T05:28:00Z</dcterms:created>
  <dcterms:modified xsi:type="dcterms:W3CDTF">2021-08-25T06:47:00Z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48D153A6487548C1B484790123D5AD19</vt:lpwstr>
  </property>
</Properties>
</file>