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关于印发沈阳市钢铁行业企业大气污染物</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超低排放改造实施方案的通知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bookmarkStart w:id="0" w:name="OLE_LINK2"/>
      <w:r>
        <w:rPr>
          <w:rFonts w:hint="eastAsia" w:ascii="仿宋" w:hAnsi="仿宋" w:eastAsia="仿宋" w:cs="仿宋"/>
          <w:sz w:val="32"/>
          <w:szCs w:val="32"/>
          <w:lang w:val="en-US" w:eastAsia="zh-CN"/>
        </w:rPr>
        <w:t>各生态环境分局，各区、县（市）发展和改革局、工业和信息化局、财政局、交通运输局：</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我市钢铁行业企业大气污染物超低排放改造工作，按照《关于印发辽宁省钢铁企业超低排放改造实施方案的通知》（辽环综函[2019]212号）要求，市生态环境局、发展和改革委、工业和信息化局、财政局、交通运输局等五部门联合制定了《沈阳市钢铁行业企业大气污染物超低排放改造实施方案》，现印发给你们，请认真贯彻执行。</w:t>
      </w:r>
    </w:p>
    <w:bookmarkEnd w:id="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沈阳市生态环境局         沈阳市发展和改革委员会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沈阳市工业和信息化局           沈阳市财政局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沈阳市交通运输局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  月  日</w:t>
      </w:r>
    </w:p>
    <w:p>
      <w:pPr>
        <w:keepNext w:val="0"/>
        <w:keepLines w:val="0"/>
        <w:pageBreakBefore w:val="0"/>
        <w:widowControl w:val="0"/>
        <w:kinsoku/>
        <w:wordWrap/>
        <w:overflowPunct/>
        <w:topLinePunct w:val="0"/>
        <w:autoSpaceDE/>
        <w:autoSpaceDN/>
        <w:bidi w:val="0"/>
        <w:spacing w:line="580" w:lineRule="exact"/>
        <w:ind w:firstLine="4960" w:firstLineChars="1550"/>
        <w:textAlignment w:val="auto"/>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沈阳市钢铁行业企业大气污染物</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超低排放改造实施方案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宋体" w:hAnsi="宋体" w:eastAsia="宋体" w:cs="宋体"/>
          <w:i w:val="0"/>
          <w:caps w:val="0"/>
          <w:color w:val="333333"/>
          <w:spacing w:val="0"/>
          <w:sz w:val="24"/>
          <w:szCs w:val="24"/>
          <w:shd w:val="clear" w:color="auto" w:fill="FFFFFF"/>
        </w:rPr>
      </w:pPr>
      <w:r>
        <w:rPr>
          <w:rFonts w:hint="eastAsia" w:ascii="仿宋" w:hAnsi="仿宋" w:eastAsia="仿宋" w:cs="仿宋"/>
          <w:kern w:val="2"/>
          <w:sz w:val="32"/>
          <w:szCs w:val="32"/>
          <w:lang w:val="en-US" w:eastAsia="zh-CN" w:bidi="ar-SA"/>
        </w:rPr>
        <w:t>为贯彻《中共中央 国务院 关于全面加强生态环境保护 坚决打好污染防治攻坚战的意见》和《国务院关于印发打赢蓝天保卫战三年行动计划的通知》有关精神，落实《关于推进实施钢铁行业超低排放的意见》和《</w:t>
      </w:r>
      <w:r>
        <w:rPr>
          <w:rFonts w:hint="eastAsia" w:ascii="仿宋" w:hAnsi="仿宋" w:eastAsia="仿宋" w:cs="仿宋"/>
          <w:sz w:val="32"/>
          <w:szCs w:val="32"/>
          <w:lang w:val="en-US" w:eastAsia="zh-CN"/>
        </w:rPr>
        <w:t>辽宁省钢铁企业超低排放改造实施方案</w:t>
      </w:r>
      <w:r>
        <w:rPr>
          <w:rFonts w:hint="eastAsia" w:ascii="仿宋" w:hAnsi="仿宋" w:eastAsia="仿宋" w:cs="仿宋"/>
          <w:kern w:val="2"/>
          <w:sz w:val="32"/>
          <w:szCs w:val="32"/>
          <w:lang w:val="en-US" w:eastAsia="zh-CN" w:bidi="ar-SA"/>
        </w:rPr>
        <w:t>》部署，明确企业改造任务，按要求时限完成沈阳市钢铁行业企业大气污染物超低排放改造，制定本方案</w:t>
      </w:r>
      <w:r>
        <w:rPr>
          <w:rFonts w:hint="eastAsia" w:ascii="宋体" w:hAnsi="宋体" w:eastAsia="宋体" w:cs="宋体"/>
          <w:i w:val="0"/>
          <w:caps w:val="0"/>
          <w:color w:val="333333"/>
          <w:spacing w:val="0"/>
          <w:sz w:val="24"/>
          <w:szCs w:val="24"/>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深入贯彻党的十九大和十九届二中、三中、四中全会精神，全面落实习近平生态文明思想和全国生态环境保护大会要求，坚持新发展理念，提高钢铁行业企业发展质量。综合运用技术、市场、法治相结合手段，开展沈阳市钢铁行业企业超低排放改造，提高污染治理与环境管理水平，实施全覆盖监管，削减大气污染物排放，促进沈阳市环境空气质量进一步改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（一）统筹协调，有序发展。</w:t>
      </w:r>
      <w:r>
        <w:rPr>
          <w:rFonts w:hint="eastAsia" w:ascii="仿宋" w:hAnsi="仿宋" w:eastAsia="仿宋" w:cs="仿宋"/>
          <w:sz w:val="32"/>
          <w:szCs w:val="32"/>
          <w:lang w:val="en-US" w:eastAsia="zh-CN"/>
        </w:rPr>
        <w:t>采取综合措施，统筹采用超低排放改造、达标排放治理、淘汰落后产能等方式，推动行业整体转型升级；逐步实施差异化、精细化行业监管政策，营造健康有序的发展环境，促进我市钢铁行业企业的高质量发展。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（二）突出重点，分步推进。</w:t>
      </w:r>
      <w:r>
        <w:rPr>
          <w:rFonts w:hint="eastAsia" w:ascii="仿宋" w:hAnsi="仿宋" w:eastAsia="仿宋" w:cs="仿宋"/>
          <w:sz w:val="32"/>
          <w:szCs w:val="32"/>
          <w:lang w:val="en-US" w:eastAsia="zh-CN"/>
        </w:rPr>
        <w:t>以改善环境空气质量为核心，围绕打赢蓝天保卫战目标任务，在建成区和工业园区内的钢铁行业企业率先实施超低排放改造工作。综合考虑技术、经济、市场等条件，确定分阶段改造任务，推进全市改造项目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（三）企业主体，政府引导。</w:t>
      </w:r>
      <w:r>
        <w:rPr>
          <w:rFonts w:hint="eastAsia" w:ascii="仿宋" w:hAnsi="仿宋" w:eastAsia="仿宋" w:cs="仿宋"/>
          <w:sz w:val="32"/>
          <w:szCs w:val="32"/>
          <w:lang w:val="en-US" w:eastAsia="zh-CN"/>
        </w:rPr>
        <w:t>强化钢铁行业企业治理改造的主体责任，加大环保治理资金投入，做好技术比选，加强运行管理，加快改造步伐；各职能部门要发挥政府引导作用，增强服务意识，协助企业实施治理改造。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全市域范围内新建（含搬迁）的钢铁行业项目原则上要达到超低排放水平。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有钢铁企业分步分时段完成超低排放改造。2023年底前，基本完成沈阳市县级及以上建成区和工业园区内的钢铁企业超低排放改造，其他地区钢铁企业超低排放改造工作取得明显进展，60%以上产能完成改造；2025年底10月底前，沈阳市域范围内钢铁企业的超低排放改造基本完成。</w:t>
      </w:r>
    </w:p>
    <w:p>
      <w:pPr>
        <w:pStyle w:val="3"/>
        <w:widowControl/>
        <w:spacing w:line="450" w:lineRule="atLeast"/>
        <w:ind w:firstLine="640" w:firstLineChars="200"/>
        <w:rPr>
          <w:rFonts w:ascii="仿宋" w:hAnsi="仿宋" w:eastAsia="仿宋" w:cs="仿宋"/>
          <w:sz w:val="32"/>
          <w:szCs w:val="32"/>
        </w:rPr>
      </w:pPr>
      <w:r>
        <w:rPr>
          <w:rFonts w:hint="eastAsia" w:ascii="仿宋" w:hAnsi="仿宋" w:eastAsia="仿宋" w:cs="仿宋"/>
          <w:sz w:val="32"/>
          <w:szCs w:val="32"/>
        </w:rPr>
        <w:t>为完成以上工作目标，各地区应在2020年</w:t>
      </w:r>
      <w:r>
        <w:rPr>
          <w:rFonts w:hint="eastAsia" w:ascii="仿宋" w:hAnsi="仿宋" w:eastAsia="仿宋" w:cs="仿宋"/>
          <w:sz w:val="32"/>
          <w:szCs w:val="32"/>
          <w:lang w:val="en-US" w:eastAsia="zh-CN"/>
        </w:rPr>
        <w:t>4</w:t>
      </w:r>
      <w:r>
        <w:rPr>
          <w:rFonts w:hint="eastAsia" w:ascii="仿宋" w:hAnsi="仿宋" w:eastAsia="仿宋" w:cs="仿宋"/>
          <w:sz w:val="32"/>
          <w:szCs w:val="32"/>
        </w:rPr>
        <w:t>月底之前完成辖区内钢铁行业企业的排查工作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督促</w:t>
      </w:r>
      <w:r>
        <w:rPr>
          <w:rFonts w:hint="eastAsia" w:ascii="仿宋" w:hAnsi="仿宋" w:eastAsia="仿宋" w:cs="仿宋"/>
          <w:sz w:val="32"/>
          <w:szCs w:val="32"/>
        </w:rPr>
        <w:t>辖区内钢铁企业按照</w:t>
      </w:r>
      <w:r>
        <w:rPr>
          <w:rFonts w:hint="eastAsia" w:ascii="仿宋" w:hAnsi="仿宋" w:eastAsia="仿宋" w:cs="仿宋"/>
          <w:sz w:val="32"/>
          <w:szCs w:val="32"/>
          <w:lang w:val="en-US" w:eastAsia="zh-CN"/>
        </w:rPr>
        <w:t>我市</w:t>
      </w:r>
      <w:r>
        <w:rPr>
          <w:rFonts w:hint="eastAsia" w:ascii="仿宋" w:hAnsi="仿宋" w:eastAsia="仿宋" w:cs="仿宋"/>
          <w:sz w:val="32"/>
          <w:szCs w:val="32"/>
        </w:rPr>
        <w:t>方案</w:t>
      </w:r>
      <w:r>
        <w:rPr>
          <w:rFonts w:hint="eastAsia" w:ascii="仿宋" w:hAnsi="仿宋" w:eastAsia="仿宋" w:cs="仿宋"/>
          <w:sz w:val="32"/>
          <w:szCs w:val="32"/>
          <w:lang w:val="en-US" w:eastAsia="zh-CN"/>
        </w:rPr>
        <w:t>要求制定本企业</w:t>
      </w:r>
      <w:r>
        <w:rPr>
          <w:rFonts w:hint="eastAsia" w:ascii="仿宋" w:hAnsi="仿宋" w:eastAsia="仿宋" w:cs="仿宋"/>
          <w:sz w:val="32"/>
          <w:szCs w:val="32"/>
        </w:rPr>
        <w:t>超低排放改造</w:t>
      </w:r>
      <w:r>
        <w:rPr>
          <w:rFonts w:hint="eastAsia" w:ascii="仿宋" w:hAnsi="仿宋" w:eastAsia="仿宋" w:cs="仿宋"/>
          <w:sz w:val="32"/>
          <w:szCs w:val="32"/>
          <w:lang w:val="en-US" w:eastAsia="zh-CN"/>
        </w:rPr>
        <w:t>计划</w:t>
      </w:r>
      <w:r>
        <w:rPr>
          <w:rFonts w:hint="eastAsia" w:ascii="仿宋" w:hAnsi="仿宋" w:eastAsia="仿宋" w:cs="仿宋"/>
          <w:sz w:val="32"/>
          <w:szCs w:val="32"/>
        </w:rPr>
        <w:t>(含治理</w:t>
      </w:r>
      <w:r>
        <w:rPr>
          <w:rFonts w:hint="eastAsia" w:ascii="仿宋" w:hAnsi="仿宋" w:eastAsia="仿宋" w:cs="仿宋"/>
          <w:sz w:val="32"/>
          <w:szCs w:val="32"/>
          <w:lang w:val="en-US" w:eastAsia="zh-CN"/>
        </w:rPr>
        <w:t>方案</w:t>
      </w:r>
      <w:r>
        <w:rPr>
          <w:rFonts w:hint="eastAsia" w:ascii="仿宋" w:hAnsi="仿宋" w:eastAsia="仿宋" w:cs="仿宋"/>
          <w:sz w:val="32"/>
          <w:szCs w:val="32"/>
        </w:rPr>
        <w:t>和改造项目清单)，并于2020年</w:t>
      </w:r>
      <w:r>
        <w:rPr>
          <w:rFonts w:hint="eastAsia" w:ascii="仿宋" w:hAnsi="仿宋" w:eastAsia="仿宋" w:cs="仿宋"/>
          <w:sz w:val="32"/>
          <w:szCs w:val="32"/>
          <w:lang w:val="en-US" w:eastAsia="zh-CN"/>
        </w:rPr>
        <w:t>5</w:t>
      </w:r>
      <w:bookmarkStart w:id="2" w:name="_GoBack"/>
      <w:bookmarkEnd w:id="2"/>
      <w:r>
        <w:rPr>
          <w:rFonts w:hint="eastAsia" w:ascii="仿宋" w:hAnsi="仿宋" w:eastAsia="仿宋" w:cs="仿宋"/>
          <w:sz w:val="32"/>
          <w:szCs w:val="32"/>
        </w:rPr>
        <w:t>月底前将本地区改造治理方案和项目清单报</w:t>
      </w:r>
      <w:r>
        <w:rPr>
          <w:rFonts w:hint="eastAsia" w:ascii="仿宋" w:hAnsi="仿宋" w:eastAsia="仿宋" w:cs="仿宋"/>
          <w:sz w:val="32"/>
          <w:szCs w:val="32"/>
          <w:lang w:val="en-US" w:eastAsia="zh-CN"/>
        </w:rPr>
        <w:t>市</w:t>
      </w:r>
      <w:r>
        <w:rPr>
          <w:rFonts w:hint="eastAsia" w:ascii="仿宋" w:hAnsi="仿宋" w:eastAsia="仿宋" w:cs="仿宋"/>
          <w:sz w:val="32"/>
          <w:szCs w:val="32"/>
        </w:rPr>
        <w:t>生态环境、工信部门备案。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40" w:lineRule="atLeast"/>
        <w:ind w:left="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四、钢铁企业超低排放指标要求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钢铁企业超低排放是指对所有生产环节（含原料场、烧结、球团、炼焦、炼铁、炼钢、轧钢、自备电厂等，以及大宗物料产品运输）实施升级改造，大气污染物有组织排放、无组织排放以及运输过程满足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（一）有组织排放控制指标。</w:t>
      </w:r>
      <w:r>
        <w:rPr>
          <w:rFonts w:hint="eastAsia" w:ascii="仿宋" w:hAnsi="仿宋" w:eastAsia="仿宋" w:cs="仿宋"/>
          <w:sz w:val="32"/>
          <w:szCs w:val="32"/>
          <w:lang w:val="en-US" w:eastAsia="zh-CN"/>
        </w:rPr>
        <w:t>烧结机机头、球团焙烧烟气颗粒物、二氧化硫、氮氧化物排放浓度小时均值分别不高于10、35、50毫克/立方米；其他主要污染源颗粒物、二氧化硫、氮氧化物排放浓度小时均值原则上分别不高于10、50、200毫克/立方米，具体指标限值见附表1。达到超低排放的钢铁企业每月至少95%以上时段小时均值排放浓度满足上述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（二）无组织排放控制措施。</w:t>
      </w:r>
      <w:r>
        <w:rPr>
          <w:rFonts w:hint="eastAsia" w:ascii="仿宋" w:hAnsi="仿宋" w:eastAsia="仿宋" w:cs="仿宋"/>
          <w:sz w:val="32"/>
          <w:szCs w:val="32"/>
          <w:lang w:val="en-US" w:eastAsia="zh-CN"/>
        </w:rPr>
        <w:t>全面加强物料储存、输送及生产工艺过程无组织排放控制，在保障生产安全的前提下，采取密闭、封闭等有效措施（见附表2），有效提高废气收集率，产尘点及车间不得有可见烟粉尘外逸。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1、物料储存。粉状物料，应采用料仓、储罐等方式密闭储存。块状或粘湿物料，应采用密闭料仓或封闭料棚等方式储存。其他干渣堆存应采用喷淋（雾）等抑尘措施。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物料输送。粉状物料，应采用管状带式输送机、气力输送设备、罐车等方式密闭输送。块状或粘湿物料，应采用管状带式输送机等方式密闭输送，或采用皮带通廊等方式封闭输送；确需汽车运输的，应使用封闭车厢或苫盖严密，装卸车时应采取加湿等抑尘措施。物料输送落料点等应配备集气罩和除尘设施，或采取喷雾等抑尘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产工艺过程。物料破碎、筛分、混合等设备应设置密闭罩，并配备除尘设施。加热炉应全面加强集气能力建设，确保无可见烟粉尘外逸。废钢切割应在封闭空间内进行，设置集气罩，并配备除尘设施。轧钢涂层机组应封闭，并设置废气收集处理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（三）大宗物料产品清洁运输要求。</w:t>
      </w:r>
      <w:r>
        <w:rPr>
          <w:rFonts w:hint="eastAsia" w:ascii="仿宋" w:hAnsi="仿宋" w:eastAsia="仿宋" w:cs="仿宋"/>
          <w:sz w:val="32"/>
          <w:szCs w:val="32"/>
          <w:lang w:val="en-US" w:eastAsia="zh-CN"/>
        </w:rPr>
        <w:t>进出钢铁企业的铁精矿、煤炭、焦炭等大宗物料和产品采用铁路、水路、管道或管状带式输送机等清洁方式运输比例不低于80%；达不到的，汽车运输部分应全部采用新能源汽车或达到国六排放标准的汽车（2021年底前可采用国五排放标准的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五、重点任务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（一）严格新改扩建项目环境准入。</w:t>
      </w:r>
      <w:r>
        <w:rPr>
          <w:rFonts w:hint="eastAsia" w:ascii="仿宋" w:hAnsi="仿宋" w:eastAsia="仿宋" w:cs="仿宋"/>
          <w:sz w:val="32"/>
          <w:szCs w:val="32"/>
          <w:lang w:val="en-US" w:eastAsia="zh-CN"/>
        </w:rPr>
        <w:t>严禁新增钢铁冶炼产能，相关职能部门不得审批新增项目。新改扩建（含搬迁）钢铁项目要严格执行产能置换实施办法，按照钢铁企业超低排放指标要求，同步配套建设高效脱硫、脱硝、除尘设施，落实物料储存、输送及生产工艺过程无组织排放管控措施，大宗物料和产品采取清洁方式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（二）有序推进现有钢铁企业超低排放改造。</w:t>
      </w:r>
      <w:r>
        <w:rPr>
          <w:rFonts w:hint="eastAsia" w:ascii="仿宋" w:hAnsi="仿宋" w:eastAsia="仿宋" w:cs="仿宋"/>
          <w:sz w:val="32"/>
          <w:szCs w:val="32"/>
          <w:lang w:val="en-US" w:eastAsia="zh-CN"/>
        </w:rPr>
        <w:t>各地区应围绕环境空气质量改善需求，按照推进实施钢铁行业超低排放的总体要求，把握好节奏和进度，有序推进钢铁企业超低排放改造。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厂制宜选择成熟适用的环保改造技术。除尘设施鼓励采用湿式静电除尘器、覆膜滤料袋式除尘器、滤筒除尘器等先进工艺，推进聚四氟乙烯微孔覆膜滤料、超细纤维多梯度面层滤料、金属间化合物多孔（膜）材料等产业化应用；烟气脱硫应实施增容提效改造等措施，提高运行稳定性，取消烟气旁路，鼓励净化处理后烟气回原烟囱排放；烟气脱硝应采用活性炭（焦）、选择性催化还原（SCR）等高效脱硝技术。加强源头控制，轧钢热处理炉等应采用低氮燃烧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无组织排放控制应采用密闭、封闭等有效管控措施；产尘点应按照“应收尽收”原则配置废气收集设施，强化运行管理，确保收集治理设施与生产工艺设备同步运转。企业应通过新建或利用已有铁路专用线、打通与主干线连接等方式，有效增加铁路运力；对短距离运输的大宗物料，鼓励采用管道或管状带式输送机等密闭方式运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（三）依法推进钢铁企业全面达标排放。</w:t>
      </w:r>
      <w:r>
        <w:rPr>
          <w:rFonts w:hint="eastAsia" w:ascii="仿宋" w:hAnsi="仿宋" w:eastAsia="仿宋" w:cs="仿宋"/>
          <w:sz w:val="32"/>
          <w:szCs w:val="32"/>
          <w:lang w:val="en-US" w:eastAsia="zh-CN"/>
        </w:rPr>
        <w:t>尚未实施超低排放改造的钢铁企业，应采取污染防治设施升级、加强无组织排放管理等措施，确保稳定达到国家或省钢铁行业大气污染物排放标准（特别排放限值）。</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（四）依法淘汰落后产能和不符合相关强制性标准要求的生产设施。</w:t>
      </w:r>
      <w:r>
        <w:rPr>
          <w:rFonts w:hint="eastAsia" w:ascii="仿宋" w:hAnsi="仿宋" w:eastAsia="仿宋" w:cs="仿宋"/>
          <w:sz w:val="32"/>
          <w:szCs w:val="32"/>
          <w:lang w:val="en-US" w:eastAsia="zh-CN"/>
        </w:rPr>
        <w:t>各地区要严格执行《产业结构调整指导目录》和质量、环保、能耗、安全等法规标准，促使一批经整改仍达不到要求的产能依法依规关停退出。列入淘汰计划的企业或设施不再要求实施超低排放改造。城市周边区域要严防“地条钢”死灰复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（五）加强企业污染排放监测监控。</w:t>
      </w:r>
      <w:r>
        <w:rPr>
          <w:rFonts w:hint="eastAsia" w:ascii="仿宋" w:hAnsi="仿宋" w:eastAsia="仿宋" w:cs="仿宋"/>
          <w:sz w:val="32"/>
          <w:szCs w:val="32"/>
          <w:lang w:val="en-US" w:eastAsia="zh-CN"/>
        </w:rPr>
        <w:t>钢铁企业应依法全面加强污染排放自动监控设施等建设，并与生态环境及有关部门联网，按照钢铁工业及炼焦化学工业自行监测技术指南要求，编制自行监测方案，开展自行监测，如实向社会公开监测信息。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超低排放改造的钢铁企业，应全面加强自动监控、过程监控和视频监控设施建设。焦炉烟囱、装煤地面站、推（熄）焦地面站、铁水预处理、转炉烟气、电炉烟气、燃用发生炉煤气的轧钢热处理炉、自备电站排气筒等均应安装自动监控设施。上述污染源污染治理设施应安装分布式控制系统（DCS），记录企业环保设施运行及相关生产过程主要参数。生产工艺流程中的易产尘点，应安装高清视频监控设施。在厂区内主要产尘点周边、运输道路两侧布设空气质量监测微站点，监控颗粒物等管控情况。建设门禁系统和视频监控系统，监控运输车辆进出厂区情况。自动监控、DCS监控等数据至少要保存一年以上，视频监控数据至少要保存三个月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480" w:firstLineChars="200"/>
        <w:textAlignment w:val="auto"/>
        <w:rPr>
          <w:rFonts w:hint="eastAsia" w:ascii="仿宋" w:hAnsi="仿宋" w:eastAsia="仿宋" w:cs="仿宋"/>
          <w:sz w:val="32"/>
          <w:szCs w:val="32"/>
          <w:lang w:val="en-US" w:eastAsia="zh-CN"/>
        </w:rPr>
      </w:pPr>
      <w:r>
        <w:rPr>
          <w:rFonts w:hint="eastAsia" w:ascii="微软雅黑" w:hAnsi="微软雅黑" w:eastAsia="微软雅黑" w:cs="微软雅黑"/>
          <w:b w:val="0"/>
          <w:i w:val="0"/>
          <w:caps w:val="0"/>
          <w:color w:val="000000"/>
          <w:spacing w:val="0"/>
          <w:sz w:val="24"/>
          <w:szCs w:val="24"/>
          <w:shd w:val="clear" w:color="auto" w:fill="FFFFFF"/>
        </w:rPr>
        <w:t>　　</w:t>
      </w:r>
      <w:r>
        <w:rPr>
          <w:rFonts w:hint="eastAsia" w:ascii="黑体" w:hAnsi="黑体" w:eastAsia="黑体" w:cs="黑体"/>
          <w:sz w:val="32"/>
          <w:szCs w:val="32"/>
          <w:lang w:val="en-US" w:eastAsia="zh-CN"/>
        </w:rPr>
        <w:t>六、保障措施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（一）加强组织领导，落实企业任务。</w:t>
      </w:r>
      <w:r>
        <w:rPr>
          <w:rFonts w:hint="eastAsia" w:ascii="仿宋" w:hAnsi="仿宋" w:eastAsia="仿宋" w:cs="仿宋"/>
          <w:sz w:val="32"/>
          <w:szCs w:val="32"/>
          <w:lang w:val="en-US" w:eastAsia="zh-CN"/>
        </w:rPr>
        <w:t>市生态环境局、发展和改革委、工业和信息化局、财政局、交通运输局等部门共同组织实施本方案，各部门各司其职、密切配合，形成合力，加强对各地区、各企业的指导，及时协调解决推进过程中的困难和问题。钢铁企业是实施超低排放改造的责任主体，要按照国家、省、市有关要求制定具体工作方案，确定</w:t>
      </w:r>
      <w:r>
        <w:rPr>
          <w:rFonts w:hint="eastAsia" w:ascii="仿宋" w:hAnsi="仿宋" w:eastAsia="仿宋" w:cs="仿宋"/>
          <w:sz w:val="32"/>
          <w:szCs w:val="32"/>
        </w:rPr>
        <w:t>改造</w:t>
      </w:r>
      <w:r>
        <w:rPr>
          <w:rFonts w:hint="eastAsia" w:ascii="仿宋" w:hAnsi="仿宋" w:eastAsia="仿宋" w:cs="仿宋"/>
          <w:sz w:val="32"/>
          <w:szCs w:val="32"/>
          <w:lang w:val="en-US" w:eastAsia="zh-CN"/>
        </w:rPr>
        <w:t>环节（项目）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成立以企业主要负责人为组长的专项工作组，确保按期完成改造任务。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（二）严格评价管理，强化监督执法。</w:t>
      </w:r>
      <w:r>
        <w:rPr>
          <w:rFonts w:hint="eastAsia" w:ascii="仿宋" w:hAnsi="仿宋" w:eastAsia="仿宋" w:cs="仿宋"/>
          <w:sz w:val="32"/>
          <w:szCs w:val="32"/>
          <w:lang w:val="en-US" w:eastAsia="zh-CN"/>
        </w:rPr>
        <w:t>生态环境部门将会同有关部门，对相关地区钢铁行业企业的超低排放改造完成情况进行评价，并纳入大气污染防治工作考核评价体系；要加强日常监督和执法检查，严格执行排污许可证制度，对不达标企业、未按证排污企业，依法依规严格处罚。严厉打击弄虚作假、擅自停运环保设施等严重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（三）严格执行环境保护有关税法。</w:t>
      </w:r>
      <w:r>
        <w:rPr>
          <w:rFonts w:hint="eastAsia" w:ascii="仿宋" w:hAnsi="仿宋" w:eastAsia="仿宋" w:cs="仿宋"/>
          <w:sz w:val="32"/>
          <w:szCs w:val="32"/>
          <w:lang w:val="en-US" w:eastAsia="zh-CN"/>
        </w:rPr>
        <w:t>按照环境保护税法有关条款规定，对符合超低排放条件的钢铁企业给予税收优惠待遇。应税大气污染物排放浓度低于污染物排放标准百分之三十的，减按百分之七十五征收环境保护税；低于百分之五十的，减按百分之五十征收环境保护税。落实购置环境保护专用设备企业所得税抵免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（四）实行差别化环保管理政策。</w:t>
      </w:r>
      <w:r>
        <w:rPr>
          <w:rFonts w:hint="eastAsia" w:ascii="仿宋" w:hAnsi="仿宋" w:eastAsia="仿宋" w:cs="仿宋"/>
          <w:sz w:val="32"/>
          <w:szCs w:val="32"/>
          <w:lang w:val="en-US" w:eastAsia="zh-CN"/>
        </w:rPr>
        <w:t>对于积极推行超低排放改造按时完成治理任务的钢铁企业，生态环境部门将积极向上级和地方财政申请治理资金，争取予以一定比例的治理资金支持。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在重污染天气预警期间，对钢铁企业实施差别化应急减排措施。对于未完成超低排放改造的钢铁企业，将采取更加严格的停产限产措施。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  1、钢铁企业超低排放指标限值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2、无组织排放控制措施的界定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b w:val="0"/>
          <w:bCs/>
          <w:sz w:val="44"/>
          <w:szCs w:val="44"/>
        </w:rPr>
      </w:pPr>
      <w:r>
        <w:rPr>
          <w:rStyle w:val="6"/>
          <w:rFonts w:hint="eastAsia" w:ascii="方正小标宋简体" w:hAnsi="方正小标宋简体" w:eastAsia="方正小标宋简体" w:cs="方正小标宋简体"/>
          <w:b w:val="0"/>
          <w:bCs/>
          <w:i w:val="0"/>
          <w:caps w:val="0"/>
          <w:color w:val="000000"/>
          <w:spacing w:val="0"/>
          <w:sz w:val="44"/>
          <w:szCs w:val="44"/>
          <w:shd w:val="clear" w:color="auto" w:fill="FFFFFF"/>
        </w:rPr>
        <w:t>钢铁企业超低排放指标限值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微软雅黑" w:hAnsi="微软雅黑" w:eastAsia="微软雅黑" w:cs="微软雅黑"/>
          <w:b w:val="0"/>
          <w:i w:val="0"/>
          <w:caps w:val="0"/>
          <w:color w:val="000000"/>
          <w:spacing w:val="0"/>
          <w:sz w:val="24"/>
          <w:szCs w:val="24"/>
          <w:shd w:val="clear" w:color="auto" w:fill="FFFFFF"/>
        </w:rPr>
        <w:t>　　　　　　　　　　　　　　　　　　　　　　</w:t>
      </w:r>
      <w:r>
        <w:rPr>
          <w:rFonts w:hint="eastAsia" w:ascii="仿宋" w:hAnsi="仿宋" w:eastAsia="仿宋" w:cs="仿宋"/>
          <w:b w:val="0"/>
          <w:i w:val="0"/>
          <w:caps w:val="0"/>
          <w:color w:val="000000"/>
          <w:spacing w:val="0"/>
          <w:sz w:val="24"/>
          <w:szCs w:val="24"/>
          <w:shd w:val="clear" w:color="auto" w:fill="FFFFFF"/>
        </w:rPr>
        <w:t>　单位：毫克/立方米　　</w:t>
      </w:r>
    </w:p>
    <w:tbl>
      <w:tblPr>
        <w:tblStyle w:val="4"/>
        <w:tblW w:w="8442" w:type="dxa"/>
        <w:jc w:val="center"/>
        <w:tblLayout w:type="fixed"/>
        <w:tblCellMar>
          <w:top w:w="15" w:type="dxa"/>
          <w:left w:w="15" w:type="dxa"/>
          <w:bottom w:w="15" w:type="dxa"/>
          <w:right w:w="15" w:type="dxa"/>
        </w:tblCellMar>
      </w:tblPr>
      <w:tblGrid>
        <w:gridCol w:w="1310"/>
        <w:gridCol w:w="2826"/>
        <w:gridCol w:w="1283"/>
        <w:gridCol w:w="895"/>
        <w:gridCol w:w="1000"/>
        <w:gridCol w:w="1128"/>
      </w:tblGrid>
      <w:tr>
        <w:tblPrEx>
          <w:tblCellMar>
            <w:top w:w="15" w:type="dxa"/>
            <w:left w:w="15" w:type="dxa"/>
            <w:bottom w:w="15" w:type="dxa"/>
            <w:right w:w="15" w:type="dxa"/>
          </w:tblCellMar>
        </w:tblPrEx>
        <w:trPr>
          <w:trHeight w:val="397" w:hRule="atLeast"/>
          <w:jc w:val="center"/>
        </w:trPr>
        <w:tc>
          <w:tcPr>
            <w:tcW w:w="1310"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生产工序</w:t>
            </w:r>
          </w:p>
        </w:tc>
        <w:tc>
          <w:tcPr>
            <w:tcW w:w="2826" w:type="dxa"/>
            <w:vMerge w:val="restart"/>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生产设施</w:t>
            </w:r>
          </w:p>
        </w:tc>
        <w:tc>
          <w:tcPr>
            <w:tcW w:w="1283" w:type="dxa"/>
            <w:vMerge w:val="restart"/>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基准含氧量（%）</w:t>
            </w:r>
          </w:p>
        </w:tc>
        <w:tc>
          <w:tcPr>
            <w:tcW w:w="3023" w:type="dxa"/>
            <w:gridSpan w:val="3"/>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污染物项目</w:t>
            </w:r>
          </w:p>
        </w:tc>
      </w:tr>
      <w:tr>
        <w:tblPrEx>
          <w:tblCellMar>
            <w:top w:w="15" w:type="dxa"/>
            <w:left w:w="15" w:type="dxa"/>
            <w:bottom w:w="15" w:type="dxa"/>
            <w:right w:w="15" w:type="dxa"/>
          </w:tblCellMar>
        </w:tblPrEx>
        <w:trPr>
          <w:trHeight w:val="397" w:hRule="atLeast"/>
          <w:jc w:val="center"/>
        </w:trPr>
        <w:tc>
          <w:tcPr>
            <w:tcW w:w="1310"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vMerge w:val="continue"/>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1283" w:type="dxa"/>
            <w:vMerge w:val="continue"/>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颗粒物</w:t>
            </w:r>
          </w:p>
        </w:tc>
        <w:tc>
          <w:tcPr>
            <w:tcW w:w="1000" w:type="dxa"/>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二氧化硫</w:t>
            </w:r>
          </w:p>
        </w:tc>
        <w:tc>
          <w:tcPr>
            <w:tcW w:w="1128" w:type="dxa"/>
            <w:tcBorders>
              <w:top w:val="single" w:color="000000" w:sz="8" w:space="0"/>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氮氧化物</w:t>
            </w:r>
          </w:p>
        </w:tc>
      </w:tr>
      <w:tr>
        <w:tblPrEx>
          <w:tblCellMar>
            <w:top w:w="15" w:type="dxa"/>
            <w:left w:w="15" w:type="dxa"/>
            <w:bottom w:w="15" w:type="dxa"/>
            <w:right w:w="15" w:type="dxa"/>
          </w:tblCellMar>
        </w:tblPrEx>
        <w:trPr>
          <w:trHeight w:val="670" w:hRule="atLeast"/>
          <w:jc w:val="center"/>
        </w:trPr>
        <w:tc>
          <w:tcPr>
            <w:tcW w:w="1310"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烧结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（球团）</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烧结机机头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球团竖炉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16</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r>
        <w:tblPrEx>
          <w:tblCellMar>
            <w:top w:w="15" w:type="dxa"/>
            <w:left w:w="15" w:type="dxa"/>
            <w:bottom w:w="15" w:type="dxa"/>
            <w:right w:w="15" w:type="dxa"/>
          </w:tblCellMar>
        </w:tblPrEx>
        <w:trPr>
          <w:trHeight w:val="670"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链篦机回转窑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带式球团焙烧机</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18</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r>
        <w:tblPrEx>
          <w:tblCellMar>
            <w:top w:w="15" w:type="dxa"/>
            <w:left w:w="15" w:type="dxa"/>
            <w:bottom w:w="15" w:type="dxa"/>
            <w:right w:w="15" w:type="dxa"/>
          </w:tblCellMar>
        </w:tblPrEx>
        <w:trPr>
          <w:trHeight w:val="976"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烧结机机尾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其他生产设备</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397" w:hRule="atLeast"/>
          <w:jc w:val="center"/>
        </w:trPr>
        <w:tc>
          <w:tcPr>
            <w:tcW w:w="1310"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炼焦</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焦炉烟囱</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8</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30</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150</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装煤、推焦</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 </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干法熄焦</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397" w:hRule="atLeast"/>
          <w:jc w:val="center"/>
        </w:trPr>
        <w:tc>
          <w:tcPr>
            <w:tcW w:w="1310"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炼铁</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热风炉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200</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高炉出铁场、高炉矿槽</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643" w:hRule="atLeast"/>
          <w:jc w:val="center"/>
        </w:trPr>
        <w:tc>
          <w:tcPr>
            <w:tcW w:w="131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炼钢</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铁水预处理、转炉（二次烟气）、电炉、石灰窑、白云石窑</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397" w:hRule="atLeast"/>
          <w:jc w:val="center"/>
        </w:trPr>
        <w:tc>
          <w:tcPr>
            <w:tcW w:w="131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轧钢</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热处理炉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8</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200</w:t>
            </w:r>
          </w:p>
        </w:tc>
      </w:tr>
      <w:tr>
        <w:tblPrEx>
          <w:tblCellMar>
            <w:top w:w="15" w:type="dxa"/>
            <w:left w:w="15" w:type="dxa"/>
            <w:bottom w:w="15" w:type="dxa"/>
            <w:right w:w="15" w:type="dxa"/>
          </w:tblCellMar>
        </w:tblPrEx>
        <w:trPr>
          <w:trHeight w:val="397" w:hRule="atLeast"/>
          <w:jc w:val="center"/>
        </w:trPr>
        <w:tc>
          <w:tcPr>
            <w:tcW w:w="1310"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自备电厂</w:t>
            </w: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燃气锅炉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燃煤锅炉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6</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燃气轮机组</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15</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r>
        <w:tblPrEx>
          <w:tblCellMar>
            <w:top w:w="15" w:type="dxa"/>
            <w:left w:w="15" w:type="dxa"/>
            <w:bottom w:w="15" w:type="dxa"/>
            <w:right w:w="15" w:type="dxa"/>
          </w:tblCellMar>
        </w:tblPrEx>
        <w:trPr>
          <w:trHeight w:val="397" w:hRule="atLeast"/>
          <w:jc w:val="center"/>
        </w:trPr>
        <w:tc>
          <w:tcPr>
            <w:tcW w:w="1310" w:type="dxa"/>
            <w:vMerge w:val="continue"/>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26"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燃油锅炉</w:t>
            </w:r>
          </w:p>
        </w:tc>
        <w:tc>
          <w:tcPr>
            <w:tcW w:w="1283"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w:t>
            </w:r>
          </w:p>
        </w:tc>
        <w:tc>
          <w:tcPr>
            <w:tcW w:w="895"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10</w:t>
            </w:r>
          </w:p>
        </w:tc>
        <w:tc>
          <w:tcPr>
            <w:tcW w:w="1000"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35</w:t>
            </w:r>
          </w:p>
        </w:tc>
        <w:tc>
          <w:tcPr>
            <w:tcW w:w="1128" w:type="dxa"/>
            <w:tcBorders>
              <w:top w:val="nil"/>
              <w:left w:val="nil"/>
              <w:bottom w:val="single" w:color="000000" w:sz="8" w:space="0"/>
              <w:right w:val="single" w:color="000000" w:sz="8" w:space="0"/>
            </w:tcBorders>
            <w:noWrap w:val="0"/>
            <w:tcMar>
              <w:top w:w="0" w:type="dxa"/>
              <w:left w:w="28" w:type="dxa"/>
              <w:bottom w:w="0"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0"/>
        <w:jc w:val="center"/>
        <w:rPr>
          <w:rFonts w:hint="eastAsia" w:ascii="仿宋" w:hAnsi="仿宋" w:eastAsia="仿宋" w:cs="仿宋"/>
          <w:i w:val="0"/>
          <w:caps w:val="0"/>
          <w:color w:val="000000"/>
          <w:spacing w:val="0"/>
          <w:kern w:val="0"/>
          <w:sz w:val="21"/>
          <w:szCs w:val="21"/>
          <w:shd w:val="clear" w:color="auto" w:fill="FFFFFF"/>
          <w:lang w:val="en-US" w:eastAsia="zh-CN" w:bidi="ar"/>
        </w:rPr>
      </w:pPr>
      <w:r>
        <w:rPr>
          <w:rFonts w:hint="eastAsia" w:ascii="仿宋" w:hAnsi="仿宋" w:eastAsia="仿宋" w:cs="仿宋"/>
          <w:i w:val="0"/>
          <w:caps w:val="0"/>
          <w:color w:val="000000"/>
          <w:spacing w:val="0"/>
          <w:kern w:val="0"/>
          <w:sz w:val="21"/>
          <w:szCs w:val="21"/>
          <w:shd w:val="clear" w:color="auto" w:fill="FFFFFF"/>
          <w:lang w:val="en-US" w:eastAsia="zh-CN" w:bidi="ar"/>
        </w:rPr>
        <w:t>注：表中未作规定的生产设施污染物排放限值按国家、地方排放标准或其他相关规定执行。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0"/>
        <w:jc w:val="center"/>
        <w:rPr>
          <w:rFonts w:hint="eastAsia" w:ascii="仿宋" w:hAnsi="仿宋" w:eastAsia="仿宋" w:cs="仿宋"/>
          <w:i w:val="0"/>
          <w:caps w:val="0"/>
          <w:color w:val="000000"/>
          <w:spacing w:val="0"/>
          <w:kern w:val="0"/>
          <w:sz w:val="18"/>
          <w:szCs w:val="18"/>
          <w:shd w:val="clear" w:color="auto"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b w:val="0"/>
          <w:i w:val="0"/>
          <w:caps w:val="0"/>
          <w:color w:val="000000"/>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Style w:val="6"/>
          <w:rFonts w:hint="eastAsia" w:ascii="仿宋" w:hAnsi="仿宋" w:eastAsia="仿宋" w:cs="仿宋"/>
          <w:b w:val="0"/>
          <w:bCs w:val="0"/>
          <w:i w:val="0"/>
          <w:caps w:val="0"/>
          <w:color w:val="000000"/>
          <w:spacing w:val="0"/>
          <w:sz w:val="32"/>
          <w:szCs w:val="32"/>
          <w:shd w:val="clear" w:color="auto" w:fill="FFFFFF"/>
          <w:lang w:val="en-US" w:eastAsia="zh-CN"/>
        </w:rPr>
      </w:pPr>
      <w:r>
        <w:rPr>
          <w:rFonts w:hint="eastAsia" w:ascii="微软雅黑" w:hAnsi="微软雅黑" w:eastAsia="微软雅黑" w:cs="微软雅黑"/>
          <w:b w:val="0"/>
          <w:bCs w:val="0"/>
          <w:i w:val="0"/>
          <w:caps w:val="0"/>
          <w:color w:val="000000"/>
          <w:spacing w:val="0"/>
          <w:sz w:val="24"/>
          <w:szCs w:val="24"/>
          <w:shd w:val="clear" w:color="auto" w:fill="FFFFFF"/>
        </w:rPr>
        <w:t>　</w:t>
      </w:r>
      <w:r>
        <w:rPr>
          <w:rStyle w:val="6"/>
          <w:rFonts w:hint="eastAsia" w:ascii="仿宋" w:hAnsi="仿宋" w:eastAsia="仿宋" w:cs="仿宋"/>
          <w:b w:val="0"/>
          <w:bCs w:val="0"/>
          <w:i w:val="0"/>
          <w:caps w:val="0"/>
          <w:color w:val="000000"/>
          <w:spacing w:val="0"/>
          <w:sz w:val="32"/>
          <w:szCs w:val="32"/>
          <w:shd w:val="clear" w:color="auto" w:fill="FFFFFF"/>
        </w:rPr>
        <w:t>附件</w:t>
      </w:r>
      <w:r>
        <w:rPr>
          <w:rStyle w:val="6"/>
          <w:rFonts w:hint="eastAsia" w:ascii="仿宋" w:hAnsi="仿宋" w:eastAsia="仿宋" w:cs="仿宋"/>
          <w:b w:val="0"/>
          <w:bCs w:val="0"/>
          <w:i w:val="0"/>
          <w:caps w:val="0"/>
          <w:color w:val="000000"/>
          <w:spacing w:val="0"/>
          <w:sz w:val="32"/>
          <w:szCs w:val="32"/>
          <w:shd w:val="clear" w:color="auto" w:fill="FFFFFF"/>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Style w:val="6"/>
          <w:rFonts w:hint="eastAsia" w:ascii="仿宋" w:hAnsi="仿宋" w:eastAsia="仿宋" w:cs="仿宋"/>
          <w:b w:val="0"/>
          <w:bCs w:val="0"/>
          <w:i w:val="0"/>
          <w:caps w:val="0"/>
          <w:color w:val="000000"/>
          <w:spacing w:val="0"/>
          <w:sz w:val="44"/>
          <w:szCs w:val="44"/>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b w:val="0"/>
          <w:bCs/>
          <w:sz w:val="44"/>
          <w:szCs w:val="44"/>
        </w:rPr>
      </w:pPr>
      <w:r>
        <w:rPr>
          <w:rStyle w:val="6"/>
          <w:rFonts w:hint="eastAsia" w:ascii="方正小标宋简体" w:hAnsi="方正小标宋简体" w:eastAsia="方正小标宋简体" w:cs="方正小标宋简体"/>
          <w:b w:val="0"/>
          <w:bCs/>
          <w:i w:val="0"/>
          <w:caps w:val="0"/>
          <w:color w:val="000000"/>
          <w:spacing w:val="0"/>
          <w:sz w:val="44"/>
          <w:szCs w:val="44"/>
          <w:shd w:val="clear" w:color="auto" w:fill="FFFFFF"/>
        </w:rPr>
        <w:t>无组织排放控制措施的界定 </w:t>
      </w:r>
    </w:p>
    <w:tbl>
      <w:tblPr>
        <w:tblStyle w:val="4"/>
        <w:tblW w:w="8522" w:type="dxa"/>
        <w:jc w:val="center"/>
        <w:tblLayout w:type="fixed"/>
        <w:tblCellMar>
          <w:top w:w="15" w:type="dxa"/>
          <w:left w:w="15" w:type="dxa"/>
          <w:bottom w:w="15" w:type="dxa"/>
          <w:right w:w="15" w:type="dxa"/>
        </w:tblCellMar>
      </w:tblPr>
      <w:tblGrid>
        <w:gridCol w:w="817"/>
        <w:gridCol w:w="1418"/>
        <w:gridCol w:w="4110"/>
        <w:gridCol w:w="2177"/>
      </w:tblGrid>
      <w:tr>
        <w:tblPrEx>
          <w:tblCellMar>
            <w:top w:w="15" w:type="dxa"/>
            <w:left w:w="15" w:type="dxa"/>
            <w:bottom w:w="15" w:type="dxa"/>
            <w:right w:w="15" w:type="dxa"/>
          </w:tblCellMar>
        </w:tblPrEx>
        <w:trPr>
          <w:trHeight w:val="567" w:hRule="atLeast"/>
          <w:jc w:val="center"/>
        </w:trPr>
        <w:tc>
          <w:tcPr>
            <w:tcW w:w="81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序号</w:t>
            </w:r>
          </w:p>
        </w:tc>
        <w:tc>
          <w:tcPr>
            <w:tcW w:w="141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作业类型</w:t>
            </w:r>
          </w:p>
        </w:tc>
        <w:tc>
          <w:tcPr>
            <w:tcW w:w="4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措施界定</w:t>
            </w:r>
          </w:p>
        </w:tc>
        <w:tc>
          <w:tcPr>
            <w:tcW w:w="217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val="0"/>
                <w:sz w:val="24"/>
                <w:szCs w:val="24"/>
              </w:rPr>
            </w:pPr>
            <w:r>
              <w:rPr>
                <w:rStyle w:val="6"/>
                <w:rFonts w:hint="eastAsia" w:ascii="仿宋" w:hAnsi="仿宋" w:eastAsia="仿宋" w:cs="仿宋"/>
                <w:kern w:val="0"/>
                <w:sz w:val="21"/>
                <w:szCs w:val="21"/>
                <w:lang w:val="en-US" w:eastAsia="zh-CN" w:bidi="ar"/>
              </w:rPr>
              <w:t>示  例</w:t>
            </w:r>
          </w:p>
        </w:tc>
      </w:tr>
      <w:tr>
        <w:tblPrEx>
          <w:tblCellMar>
            <w:top w:w="15" w:type="dxa"/>
            <w:left w:w="15" w:type="dxa"/>
            <w:bottom w:w="15" w:type="dxa"/>
            <w:right w:w="15" w:type="dxa"/>
          </w:tblCellMar>
        </w:tblPrEx>
        <w:trPr>
          <w:trHeight w:val="1037"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1</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密闭</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物料不与环境空气接触，或通过密封材料、密封设备与环境空气隔离的状态或作业方式。</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744"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2</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密闭储存</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将物料储存于与环境空气隔离的建（构）筑物、设施、器具内的作业方式。</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料仓、储罐等</w:t>
            </w:r>
          </w:p>
        </w:tc>
      </w:tr>
      <w:tr>
        <w:tblPrEx>
          <w:tblCellMar>
            <w:top w:w="15" w:type="dxa"/>
            <w:left w:w="15" w:type="dxa"/>
            <w:bottom w:w="15" w:type="dxa"/>
            <w:right w:w="15" w:type="dxa"/>
          </w:tblCellMar>
        </w:tblPrEx>
        <w:trPr>
          <w:trHeight w:val="1099"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3</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密闭输送</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物料输送过程与环境空气隔离的作业方式。</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管道、管状带式输送机、气力输送设备、罐车等</w:t>
            </w:r>
          </w:p>
        </w:tc>
      </w:tr>
      <w:tr>
        <w:tblPrEx>
          <w:tblCellMar>
            <w:top w:w="15" w:type="dxa"/>
            <w:left w:w="15" w:type="dxa"/>
            <w:bottom w:w="15" w:type="dxa"/>
            <w:right w:w="15" w:type="dxa"/>
          </w:tblCellMar>
        </w:tblPrEx>
        <w:trPr>
          <w:trHeight w:val="1317"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4</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封闭</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利用完整的围护结构将物料、作业场所等与周围空间阻隔的状态或作业方式，设置的门窗、盖板、检修口等配套设施在非必要时应关闭。</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w:t>
            </w:r>
          </w:p>
        </w:tc>
      </w:tr>
      <w:tr>
        <w:tblPrEx>
          <w:tblCellMar>
            <w:top w:w="15" w:type="dxa"/>
            <w:left w:w="15" w:type="dxa"/>
            <w:bottom w:w="15" w:type="dxa"/>
            <w:right w:w="15" w:type="dxa"/>
          </w:tblCellMar>
        </w:tblPrEx>
        <w:trPr>
          <w:trHeight w:val="972"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5</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封闭储存</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将物料储存于具有完整围墙（围挡）及屋顶结构的建筑物内的作业方式，建筑物的门窗在非必要时应关闭。</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储库、仓库等</w:t>
            </w:r>
          </w:p>
        </w:tc>
      </w:tr>
      <w:tr>
        <w:tblPrEx>
          <w:tblCellMar>
            <w:top w:w="15" w:type="dxa"/>
            <w:left w:w="15" w:type="dxa"/>
            <w:bottom w:w="15" w:type="dxa"/>
            <w:right w:w="15" w:type="dxa"/>
          </w:tblCellMar>
        </w:tblPrEx>
        <w:trPr>
          <w:trHeight w:val="1084"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6</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封闭输送</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在完整的围护结构内进行物料输送作业，围护结构的门窗、盖板、检修口等配套设施在非必要时应关闭。</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皮带通廊、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封闭车厢等</w:t>
            </w:r>
          </w:p>
        </w:tc>
      </w:tr>
      <w:tr>
        <w:tblPrEx>
          <w:tblCellMar>
            <w:top w:w="15" w:type="dxa"/>
            <w:left w:w="15" w:type="dxa"/>
            <w:bottom w:w="15" w:type="dxa"/>
            <w:right w:w="15" w:type="dxa"/>
          </w:tblCellMar>
        </w:tblPrEx>
        <w:trPr>
          <w:trHeight w:val="772" w:hRule="atLeast"/>
          <w:jc w:val="center"/>
        </w:trPr>
        <w:tc>
          <w:tcPr>
            <w:tcW w:w="81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7</w:t>
            </w:r>
          </w:p>
        </w:tc>
        <w:tc>
          <w:tcPr>
            <w:tcW w:w="14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封闭车间</w:t>
            </w:r>
          </w:p>
        </w:tc>
        <w:tc>
          <w:tcPr>
            <w:tcW w:w="4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left"/>
              <w:textAlignment w:val="auto"/>
              <w:rPr>
                <w:rFonts w:hint="eastAsia" w:ascii="仿宋" w:hAnsi="仿宋" w:eastAsia="仿宋" w:cs="仿宋"/>
                <w:b w:val="0"/>
                <w:sz w:val="24"/>
                <w:szCs w:val="24"/>
              </w:rPr>
            </w:pPr>
            <w:r>
              <w:rPr>
                <w:rFonts w:hint="eastAsia" w:ascii="仿宋" w:hAnsi="仿宋" w:eastAsia="仿宋" w:cs="仿宋"/>
                <w:b w:val="0"/>
                <w:kern w:val="0"/>
                <w:sz w:val="21"/>
                <w:szCs w:val="21"/>
                <w:lang w:val="en-US" w:eastAsia="zh-CN" w:bidi="ar"/>
              </w:rPr>
              <w:t>具有完整围墙（围挡）及屋顶结构的建筑物，建筑物的门窗在非必要时应关闭。</w:t>
            </w:r>
          </w:p>
        </w:tc>
        <w:tc>
          <w:tcPr>
            <w:tcW w:w="21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rFonts w:hint="eastAsia" w:ascii="仿宋" w:hAnsi="仿宋" w:eastAsia="仿宋" w:cs="仿宋"/>
                <w:b w:val="0"/>
                <w:sz w:val="24"/>
                <w:szCs w:val="24"/>
              </w:rPr>
            </w:pPr>
            <w:bookmarkStart w:id="1" w:name="OLE_LINK1"/>
            <w:r>
              <w:rPr>
                <w:rFonts w:hint="eastAsia" w:ascii="仿宋" w:hAnsi="仿宋" w:eastAsia="仿宋" w:cs="仿宋"/>
                <w:b w:val="0"/>
                <w:color w:val="000000"/>
                <w:kern w:val="0"/>
                <w:sz w:val="21"/>
                <w:szCs w:val="21"/>
                <w:u w:val="none"/>
                <w:lang w:val="en-US" w:eastAsia="zh-CN" w:bidi="ar"/>
              </w:rPr>
              <w:t>—</w:t>
            </w:r>
            <w:bookmarkEnd w:id="1"/>
          </w:p>
        </w:tc>
      </w:tr>
    </w:tbl>
    <w:p/>
    <w:p>
      <w:pPr>
        <w:spacing w:line="600" w:lineRule="exact"/>
        <w:jc w:val="center"/>
        <w:rPr>
          <w:rFonts w:hint="eastAsia" w:ascii="楷体_GB2312" w:hAnsi="楷体_GB2312" w:eastAsia="楷体_GB2312" w:cs="楷体_GB2312"/>
          <w:color w:val="000000"/>
          <w:sz w:val="32"/>
          <w:szCs w:val="32"/>
          <w:lang w:eastAsia="zh-CN"/>
        </w:rPr>
      </w:pPr>
    </w:p>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7B39"/>
    <w:rsid w:val="03BF699C"/>
    <w:rsid w:val="0A2C2E4E"/>
    <w:rsid w:val="0BD5104E"/>
    <w:rsid w:val="0C613565"/>
    <w:rsid w:val="0CE33838"/>
    <w:rsid w:val="0EB85C3A"/>
    <w:rsid w:val="13011372"/>
    <w:rsid w:val="1A921C68"/>
    <w:rsid w:val="1C23283A"/>
    <w:rsid w:val="25CC11EF"/>
    <w:rsid w:val="27073D6C"/>
    <w:rsid w:val="298B7B39"/>
    <w:rsid w:val="2B075E4E"/>
    <w:rsid w:val="2E433BD5"/>
    <w:rsid w:val="39254A6E"/>
    <w:rsid w:val="3B69693D"/>
    <w:rsid w:val="3BCB77CD"/>
    <w:rsid w:val="3E4F230A"/>
    <w:rsid w:val="3F6A1ABE"/>
    <w:rsid w:val="41750294"/>
    <w:rsid w:val="428D27BC"/>
    <w:rsid w:val="451D1ABF"/>
    <w:rsid w:val="468E6C17"/>
    <w:rsid w:val="4A4925A1"/>
    <w:rsid w:val="4BD622FF"/>
    <w:rsid w:val="4C035217"/>
    <w:rsid w:val="532F2924"/>
    <w:rsid w:val="53395F1E"/>
    <w:rsid w:val="56285932"/>
    <w:rsid w:val="573F3A59"/>
    <w:rsid w:val="5A160E51"/>
    <w:rsid w:val="5C30489E"/>
    <w:rsid w:val="622D211F"/>
    <w:rsid w:val="69204BB1"/>
    <w:rsid w:val="6D1D33D9"/>
    <w:rsid w:val="7B647E25"/>
    <w:rsid w:val="7F0C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2020-03-09T05:25:00Z</dcterms:created>
  <dc:creator>王  东</dc:creator>
  <cp:lastModifiedBy>王  东</cp:lastModifiedBy>
  <cp:lastPrinted>2020-03-10T08:07:00Z</cp:lastPrinted>
  <dcterms:modified xsi:type="dcterms:W3CDTF">2020-03-23T02:15:26Z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