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580" w:lineRule="exact"/>
        <w:jc w:val="right"/>
        <w:rPr>
          <w:rFonts w:ascii="仿宋_GB2312" w:eastAsia="仿宋_GB2312"/>
          <w:sz w:val="32"/>
          <w:szCs w:val="32"/>
        </w:rPr>
      </w:pPr>
    </w:p>
    <w:p>
      <w:pPr>
        <w:wordWrap w:val="0"/>
        <w:snapToGrid w:val="0"/>
        <w:spacing w:line="580" w:lineRule="exact"/>
        <w:jc w:val="right"/>
        <w:rPr>
          <w:rFonts w:ascii="仿宋_GB2312" w:eastAsia="仿宋_GB2312"/>
          <w:sz w:val="32"/>
          <w:szCs w:val="32"/>
        </w:rPr>
      </w:pPr>
    </w:p>
    <w:p>
      <w:pPr>
        <w:wordWrap w:val="0"/>
        <w:snapToGrid w:val="0"/>
        <w:spacing w:line="580" w:lineRule="exact"/>
        <w:jc w:val="right"/>
        <w:rPr>
          <w:rFonts w:ascii="仿宋_GB2312" w:eastAsia="仿宋_GB2312"/>
          <w:sz w:val="32"/>
          <w:szCs w:val="32"/>
        </w:rPr>
      </w:pPr>
    </w:p>
    <w:p>
      <w:pPr>
        <w:wordWrap w:val="0"/>
        <w:snapToGrid w:val="0"/>
        <w:spacing w:line="580" w:lineRule="exact"/>
        <w:jc w:val="right"/>
        <w:rPr>
          <w:rFonts w:ascii="仿宋_GB2312" w:eastAsia="仿宋_GB2312"/>
          <w:sz w:val="32"/>
          <w:szCs w:val="32"/>
        </w:rPr>
      </w:pPr>
    </w:p>
    <w:p>
      <w:pPr>
        <w:snapToGrid w:val="0"/>
        <w:spacing w:line="580" w:lineRule="exact"/>
        <w:jc w:val="right"/>
        <w:rPr>
          <w:rFonts w:ascii="黑体" w:hAnsi="黑体" w:eastAsia="黑体" w:cs="黑体"/>
          <w:bCs/>
          <w:color w:val="000000" w:themeColor="text1"/>
          <w:sz w:val="44"/>
          <w:szCs w:val="44"/>
        </w:rPr>
      </w:pPr>
      <w:r>
        <w:rPr>
          <w:rFonts w:hint="eastAsia" w:ascii="仿宋_GB2312" w:eastAsia="仿宋_GB2312"/>
          <w:sz w:val="32"/>
          <w:szCs w:val="32"/>
        </w:rPr>
        <w:t>沈</w:t>
      </w:r>
      <w:r>
        <w:rPr>
          <w:rFonts w:hint="eastAsia" w:ascii="仿宋_GB2312" w:eastAsia="仿宋_GB2312"/>
          <w:color w:val="000000" w:themeColor="text1"/>
          <w:sz w:val="32"/>
          <w:szCs w:val="32"/>
        </w:rPr>
        <w:t>经</w:t>
      </w:r>
      <w:r>
        <w:rPr>
          <w:rFonts w:hint="eastAsia" w:ascii="仿宋_GB2312" w:eastAsia="仿宋_GB2312"/>
          <w:sz w:val="32"/>
          <w:szCs w:val="32"/>
        </w:rPr>
        <w:t>开环</w:t>
      </w:r>
      <w:r>
        <w:rPr>
          <w:rFonts w:hint="eastAsia" w:ascii="仿宋_GB2312" w:eastAsia="仿宋_GB2312"/>
          <w:color w:val="000000" w:themeColor="text1"/>
          <w:sz w:val="32"/>
          <w:szCs w:val="32"/>
        </w:rPr>
        <w:t>审字</w:t>
      </w:r>
      <w:r>
        <w:rPr>
          <w:rFonts w:hint="eastAsia" w:ascii="仿宋_GB2312" w:eastAsia="仿宋_GB2312"/>
          <w:color w:val="auto"/>
          <w:sz w:val="32"/>
          <w:szCs w:val="32"/>
        </w:rPr>
        <w:t>[</w:t>
      </w:r>
      <w:r>
        <w:rPr>
          <w:rFonts w:ascii="仿宋_GB2312" w:eastAsia="仿宋_GB2312"/>
          <w:color w:val="auto"/>
          <w:sz w:val="32"/>
          <w:szCs w:val="32"/>
        </w:rPr>
        <w:t>202</w:t>
      </w:r>
      <w:r>
        <w:rPr>
          <w:rFonts w:hint="eastAsia" w:ascii="仿宋_GB2312" w:eastAsia="仿宋_GB2312"/>
          <w:color w:val="auto"/>
          <w:sz w:val="32"/>
          <w:szCs w:val="32"/>
        </w:rPr>
        <w:t>2]</w:t>
      </w:r>
      <w:r>
        <w:rPr>
          <w:rFonts w:hint="eastAsia" w:ascii="仿宋_GB2312" w:eastAsia="仿宋_GB2312"/>
          <w:color w:val="auto"/>
          <w:sz w:val="32"/>
          <w:szCs w:val="32"/>
          <w:lang w:val="en-US" w:eastAsia="zh-CN"/>
        </w:rPr>
        <w:t>0002</w:t>
      </w:r>
      <w:r>
        <w:rPr>
          <w:rFonts w:hint="eastAsia" w:ascii="仿宋_GB2312" w:eastAsia="仿宋_GB2312"/>
          <w:color w:val="auto"/>
          <w:sz w:val="32"/>
          <w:szCs w:val="32"/>
        </w:rPr>
        <w:t>号</w:t>
      </w:r>
    </w:p>
    <w:p>
      <w:pPr>
        <w:spacing w:line="580" w:lineRule="exact"/>
        <w:jc w:val="center"/>
        <w:rPr>
          <w:rFonts w:ascii="黑体" w:hAnsi="黑体" w:eastAsia="黑体" w:cs="黑体"/>
          <w:bCs/>
          <w:color w:val="000000" w:themeColor="text1"/>
          <w:sz w:val="44"/>
          <w:szCs w:val="44"/>
        </w:rPr>
      </w:pPr>
    </w:p>
    <w:p>
      <w:pPr>
        <w:spacing w:line="580" w:lineRule="exact"/>
        <w:jc w:val="center"/>
        <w:rPr>
          <w:rFonts w:ascii="黑体" w:hAnsi="黑体" w:eastAsia="黑体" w:cs="黑体"/>
          <w:bCs/>
          <w:sz w:val="44"/>
          <w:szCs w:val="44"/>
        </w:rPr>
      </w:pPr>
      <w:r>
        <w:rPr>
          <w:rFonts w:hint="eastAsia" w:ascii="黑体" w:hAnsi="黑体" w:eastAsia="黑体" w:cs="黑体"/>
          <w:bCs/>
          <w:color w:val="000000" w:themeColor="text1"/>
          <w:sz w:val="44"/>
          <w:szCs w:val="44"/>
        </w:rPr>
        <w:t>关于沈阳微控新能源技术有限公司扩建项目环境影响报告表的</w:t>
      </w:r>
      <w:r>
        <w:rPr>
          <w:rFonts w:hint="eastAsia" w:ascii="黑体" w:hAnsi="黑体" w:eastAsia="黑体" w:cs="黑体"/>
          <w:bCs/>
          <w:sz w:val="44"/>
          <w:szCs w:val="44"/>
        </w:rPr>
        <w:t>批复</w:t>
      </w:r>
    </w:p>
    <w:p>
      <w:pPr>
        <w:widowControl/>
        <w:spacing w:line="540" w:lineRule="exact"/>
        <w:jc w:val="left"/>
        <w:rPr>
          <w:rFonts w:ascii="仿宋_GB2312" w:hAnsi="仿宋" w:eastAsia="仿宋_GB2312" w:cs="仿宋"/>
          <w:sz w:val="32"/>
          <w:szCs w:val="32"/>
        </w:rPr>
      </w:pPr>
    </w:p>
    <w:p>
      <w:pPr>
        <w:spacing w:line="360" w:lineRule="auto"/>
        <w:outlineLvl w:val="0"/>
        <w:rPr>
          <w:rFonts w:ascii="仿宋_GB2312" w:hAnsi="仿宋" w:eastAsia="仿宋_GB2312"/>
          <w:sz w:val="32"/>
          <w:szCs w:val="32"/>
        </w:rPr>
      </w:pPr>
      <w:r>
        <w:rPr>
          <w:rFonts w:hint="eastAsia" w:ascii="仿宋_GB2312" w:hAnsi="仿宋" w:eastAsia="仿宋_GB2312"/>
          <w:sz w:val="32"/>
          <w:szCs w:val="32"/>
        </w:rPr>
        <w:t>沈阳微控新能源技术有限公司：</w:t>
      </w:r>
    </w:p>
    <w:p>
      <w:pPr>
        <w:snapToGrid w:val="0"/>
        <w:spacing w:line="580" w:lineRule="exact"/>
        <w:ind w:firstLine="640" w:firstLineChars="200"/>
        <w:jc w:val="left"/>
        <w:rPr>
          <w:rFonts w:ascii="仿宋_GB2312" w:hAnsi="仿宋" w:eastAsia="仿宋_GB2312" w:cs="仿宋"/>
          <w:sz w:val="32"/>
          <w:szCs w:val="32"/>
        </w:rPr>
      </w:pPr>
      <w:r>
        <w:rPr>
          <w:rFonts w:hint="eastAsia" w:ascii="仿宋_GB2312" w:hAnsi="仿宋" w:eastAsia="仿宋_GB2312"/>
          <w:sz w:val="32"/>
          <w:szCs w:val="32"/>
        </w:rPr>
        <w:t>你单位报送的《沈阳微控新能源技术有限公司扩建项目环境影响报告表》收悉，经研究，批复如下：</w:t>
      </w:r>
    </w:p>
    <w:p>
      <w:pPr>
        <w:spacing w:line="360" w:lineRule="auto"/>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一、工程主要建设内容：</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z w:val="32"/>
          <w:szCs w:val="32"/>
        </w:rPr>
        <w:t>本项目为扩建项目，位于</w:t>
      </w:r>
      <w:r>
        <w:rPr>
          <w:rFonts w:hint="eastAsia" w:ascii="Times New Roman" w:hAnsi="Times New Roman" w:eastAsia="仿宋_GB2312"/>
          <w:color w:val="000000"/>
          <w:sz w:val="32"/>
          <w:szCs w:val="32"/>
        </w:rPr>
        <w:t>沈阳经济技术开发区开发二十二号路197号</w:t>
      </w:r>
      <w:r>
        <w:rPr>
          <w:rFonts w:hint="eastAsia" w:ascii="Times New Roman" w:hAnsi="Times New Roman" w:eastAsia="仿宋_GB2312"/>
          <w:sz w:val="32"/>
          <w:szCs w:val="32"/>
        </w:rPr>
        <w:t>，利用1号厂房闲置场地</w:t>
      </w:r>
      <w:r>
        <w:rPr>
          <w:rFonts w:hint="eastAsia" w:ascii="Times New Roman" w:hAnsi="Times New Roman" w:eastAsia="仿宋_GB2312"/>
          <w:color w:val="000000"/>
          <w:sz w:val="32"/>
          <w:szCs w:val="32"/>
        </w:rPr>
        <w:t>增加热处理、真空浇注和湿式机械加工设备等。项目以镀锌钢板、铝合金和航天钢等为原料通过湿式机械加工、热处理、真空浇注、预热和固化等生产工艺，年产飞轮3000台。项目总投资1110万元，其中，环保投资30万元。项目供电、供水均依托市政设施，供暖采取电取暖。</w:t>
      </w:r>
    </w:p>
    <w:p>
      <w:pPr>
        <w:tabs>
          <w:tab w:val="left" w:pos="2940"/>
        </w:tabs>
        <w:spacing w:line="360" w:lineRule="auto"/>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二、项目建设主要环境影响</w:t>
      </w:r>
    </w:p>
    <w:p>
      <w:pPr>
        <w:spacing w:line="560" w:lineRule="exact"/>
        <w:ind w:firstLine="640" w:firstLineChars="200"/>
        <w:rPr>
          <w:rFonts w:eastAsia="仿宋_GB2312"/>
          <w:color w:val="000000"/>
          <w:sz w:val="32"/>
          <w:szCs w:val="32"/>
        </w:rPr>
      </w:pPr>
      <w:r>
        <w:rPr>
          <w:rFonts w:ascii="Times New Roman" w:hAnsi="Times New Roman" w:eastAsia="仿宋_GB2312"/>
          <w:sz w:val="32"/>
          <w:szCs w:val="32"/>
        </w:rPr>
        <w:t>1、水：</w:t>
      </w:r>
      <w:r>
        <w:rPr>
          <w:rFonts w:hint="eastAsia" w:ascii="Times New Roman" w:hAnsi="Times New Roman" w:eastAsia="仿宋_GB2312"/>
          <w:sz w:val="32"/>
          <w:szCs w:val="32"/>
        </w:rPr>
        <w:t>主要为</w:t>
      </w:r>
      <w:r>
        <w:rPr>
          <w:rFonts w:hint="eastAsia" w:eastAsia="仿宋_GB2312"/>
          <w:color w:val="000000"/>
          <w:sz w:val="32"/>
          <w:szCs w:val="32"/>
        </w:rPr>
        <w:t>地面清洗水、循环冷却水和清洗废水等。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2、气</w:t>
      </w:r>
      <w:r>
        <w:rPr>
          <w:rFonts w:hint="eastAsia" w:ascii="Times New Roman" w:hAnsi="Times New Roman" w:eastAsia="仿宋_GB2312"/>
          <w:sz w:val="32"/>
          <w:szCs w:val="32"/>
        </w:rPr>
        <w:t>：</w:t>
      </w:r>
      <w:r>
        <w:rPr>
          <w:rFonts w:hint="eastAsia" w:eastAsia="仿宋_GB2312"/>
          <w:color w:val="000000"/>
          <w:sz w:val="32"/>
          <w:szCs w:val="32"/>
        </w:rPr>
        <w:t>主要为热处理真空泵废气、热处理废气、室温冷却静置废气、湿式机械加工废气、脱模剂废气、环氧树脂灌封浇注真空泵废气和环氧树脂灌封浇注工序废气等。</w:t>
      </w:r>
    </w:p>
    <w:p>
      <w:pPr>
        <w:spacing w:line="360" w:lineRule="auto"/>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3、声：</w:t>
      </w:r>
      <w:r>
        <w:rPr>
          <w:rFonts w:hint="eastAsia" w:eastAsia="仿宋_GB2312"/>
          <w:color w:val="000000"/>
          <w:sz w:val="32"/>
          <w:szCs w:val="32"/>
        </w:rPr>
        <w:t>主要来自于车削加工中心、磨削加工中心、风机、淬火炉和真空泵等设备运行</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4、固废：</w:t>
      </w:r>
      <w:r>
        <w:rPr>
          <w:rFonts w:hint="eastAsia" w:eastAsia="仿宋_GB2312"/>
          <w:color w:val="000000"/>
          <w:sz w:val="32"/>
          <w:szCs w:val="32"/>
        </w:rPr>
        <w:t>主要为隔油和混凝产生的油渣和污泥、废边角料、废淬火油、废包装桶、废活性炭、废机油、废机油桶、废金属屑、废无毛纸、废切削液桶、废真空泵油、废真空泵滤筒和废切削液等。</w:t>
      </w:r>
    </w:p>
    <w:p>
      <w:pPr>
        <w:spacing w:line="360" w:lineRule="auto"/>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三、执行的主要环境标准</w:t>
      </w:r>
    </w:p>
    <w:p>
      <w:pPr>
        <w:spacing w:line="360" w:lineRule="auto"/>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1、废水：废水执行《辽宁省污水综合排放标准》（DB21/1627-2008）表2标准要求和</w:t>
      </w:r>
      <w:r>
        <w:rPr>
          <w:rFonts w:hint="eastAsia" w:eastAsia="仿宋_GB2312"/>
          <w:color w:val="000000"/>
          <w:sz w:val="32"/>
          <w:szCs w:val="32"/>
        </w:rPr>
        <w:t>《污水综合排放标准》</w:t>
      </w:r>
      <w:r>
        <w:rPr>
          <w:rFonts w:hint="eastAsia" w:ascii="Times New Roman" w:hAnsi="Times New Roman" w:eastAsia="仿宋_GB2312"/>
          <w:sz w:val="32"/>
          <w:szCs w:val="32"/>
        </w:rPr>
        <w:t>（GB8978-1996）</w:t>
      </w:r>
      <w:r>
        <w:rPr>
          <w:rFonts w:hint="eastAsia" w:eastAsia="仿宋_GB2312"/>
          <w:color w:val="000000"/>
          <w:sz w:val="32"/>
          <w:szCs w:val="32"/>
        </w:rPr>
        <w:t>表</w:t>
      </w:r>
      <w:r>
        <w:rPr>
          <w:rFonts w:hint="eastAsia" w:ascii="Times New Roman" w:hAnsi="Times New Roman" w:eastAsia="仿宋_GB2312"/>
          <w:sz w:val="32"/>
          <w:szCs w:val="32"/>
        </w:rPr>
        <w:t>4</w:t>
      </w:r>
      <w:r>
        <w:rPr>
          <w:rFonts w:hint="eastAsia" w:eastAsia="仿宋_GB2312"/>
          <w:color w:val="000000"/>
          <w:sz w:val="32"/>
          <w:szCs w:val="32"/>
        </w:rPr>
        <w:t>标准要求</w:t>
      </w:r>
      <w:r>
        <w:rPr>
          <w:rFonts w:hint="eastAsia" w:ascii="Times New Roman" w:hAnsi="Times New Roman" w:eastAsia="仿宋_GB2312"/>
          <w:sz w:val="32"/>
          <w:szCs w:val="32"/>
        </w:rPr>
        <w:t>。</w:t>
      </w:r>
    </w:p>
    <w:p>
      <w:pPr>
        <w:spacing w:line="360" w:lineRule="auto"/>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废气：有组织</w:t>
      </w:r>
      <w:r>
        <w:rPr>
          <w:rFonts w:hint="eastAsia" w:eastAsia="仿宋_GB2312"/>
          <w:color w:val="000000"/>
          <w:sz w:val="32"/>
          <w:szCs w:val="32"/>
        </w:rPr>
        <w:t>非甲烷总烃和颗粒物执行《大气污染物综合排放标准》</w:t>
      </w:r>
      <w:r>
        <w:rPr>
          <w:rFonts w:hint="eastAsia" w:ascii="Times New Roman" w:hAnsi="Times New Roman" w:eastAsia="仿宋_GB2312"/>
          <w:sz w:val="32"/>
          <w:szCs w:val="32"/>
        </w:rPr>
        <w:t>（GB16297-1996）</w:t>
      </w:r>
      <w:r>
        <w:rPr>
          <w:rFonts w:hint="eastAsia" w:eastAsia="仿宋_GB2312"/>
          <w:color w:val="000000"/>
          <w:sz w:val="32"/>
          <w:szCs w:val="32"/>
        </w:rPr>
        <w:t>表</w:t>
      </w:r>
      <w:r>
        <w:rPr>
          <w:rFonts w:hint="eastAsia" w:ascii="Times New Roman" w:hAnsi="Times New Roman" w:eastAsia="仿宋_GB2312"/>
          <w:sz w:val="32"/>
          <w:szCs w:val="32"/>
        </w:rPr>
        <w:t>2</w:t>
      </w:r>
      <w:r>
        <w:rPr>
          <w:rFonts w:hint="eastAsia" w:eastAsia="仿宋_GB2312"/>
          <w:color w:val="000000"/>
          <w:sz w:val="32"/>
          <w:szCs w:val="32"/>
        </w:rPr>
        <w:t>标准要求。厂界处颗粒物和非甲烷总烃执行《大气污染物综合排放标准》</w:t>
      </w:r>
      <w:r>
        <w:rPr>
          <w:rFonts w:hint="eastAsia" w:ascii="Times New Roman" w:hAnsi="Times New Roman" w:eastAsia="仿宋_GB2312"/>
          <w:sz w:val="32"/>
          <w:szCs w:val="32"/>
        </w:rPr>
        <w:t>（GB16297-1996）</w:t>
      </w:r>
      <w:r>
        <w:rPr>
          <w:rFonts w:hint="eastAsia" w:eastAsia="仿宋_GB2312"/>
          <w:color w:val="000000"/>
          <w:sz w:val="32"/>
          <w:szCs w:val="32"/>
        </w:rPr>
        <w:t>表</w:t>
      </w:r>
      <w:r>
        <w:rPr>
          <w:rFonts w:hint="eastAsia" w:ascii="Times New Roman" w:hAnsi="Times New Roman" w:eastAsia="仿宋_GB2312"/>
          <w:sz w:val="32"/>
          <w:szCs w:val="32"/>
        </w:rPr>
        <w:t>2</w:t>
      </w:r>
      <w:r>
        <w:rPr>
          <w:rFonts w:hint="eastAsia" w:eastAsia="仿宋_GB2312"/>
          <w:color w:val="000000"/>
          <w:sz w:val="32"/>
          <w:szCs w:val="32"/>
        </w:rPr>
        <w:t>标准要求；厂区内车间外非甲烷总烃执行《挥发性有机物无组织排放控制标准》</w:t>
      </w:r>
      <w:r>
        <w:rPr>
          <w:rFonts w:hint="eastAsia" w:ascii="Times New Roman" w:hAnsi="Times New Roman" w:eastAsia="仿宋_GB2312"/>
          <w:sz w:val="32"/>
          <w:szCs w:val="32"/>
        </w:rPr>
        <w:t>（GB37822-2019）</w:t>
      </w:r>
      <w:r>
        <w:rPr>
          <w:rFonts w:hint="eastAsia" w:eastAsia="仿宋_GB2312"/>
          <w:color w:val="000000"/>
          <w:sz w:val="32"/>
          <w:szCs w:val="32"/>
        </w:rPr>
        <w:t>表A.1特别排放限值要求。</w:t>
      </w:r>
    </w:p>
    <w:p>
      <w:pPr>
        <w:spacing w:line="360" w:lineRule="auto"/>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噪声：</w:t>
      </w:r>
      <w:r>
        <w:rPr>
          <w:rFonts w:ascii="Times New Roman" w:hAnsi="Times New Roman" w:eastAsia="仿宋_GB2312"/>
          <w:sz w:val="32"/>
          <w:szCs w:val="32"/>
        </w:rPr>
        <w:t>厂界噪声的排放执行《工业企业厂界环境噪声排放标准》（GB12348-2008）</w:t>
      </w:r>
      <w:r>
        <w:rPr>
          <w:rFonts w:hint="eastAsia" w:ascii="Times New Roman" w:hAnsi="Times New Roman" w:eastAsia="仿宋_GB2312"/>
          <w:sz w:val="32"/>
          <w:szCs w:val="32"/>
        </w:rPr>
        <w:t>3</w:t>
      </w:r>
      <w:r>
        <w:rPr>
          <w:rFonts w:ascii="Times New Roman" w:hAnsi="Times New Roman" w:eastAsia="仿宋_GB2312"/>
          <w:sz w:val="32"/>
          <w:szCs w:val="32"/>
        </w:rPr>
        <w:t>类标准。</w:t>
      </w:r>
    </w:p>
    <w:p>
      <w:pPr>
        <w:spacing w:line="360" w:lineRule="auto"/>
        <w:ind w:firstLine="640" w:firstLineChars="200"/>
        <w:outlineLvl w:val="0"/>
      </w:pPr>
      <w:r>
        <w:rPr>
          <w:rFonts w:hint="eastAsia" w:ascii="Times New Roman" w:hAnsi="Times New Roman" w:eastAsia="仿宋_GB2312"/>
          <w:sz w:val="32"/>
          <w:szCs w:val="32"/>
        </w:rPr>
        <w:t>4、一般固体废物贮存、处置场执行《一般工业固体废物贮存、处置场污染控制标准》(GB18599-2020)；危险废物厂内贮存执行《危险废物贮存污染控制标准》（GB18597－2001）及国家污染物控制标准修改单，并按照《危险废物收集贮存运输技术规范》相关要求进行规范管理。</w:t>
      </w:r>
    </w:p>
    <w:p>
      <w:pPr>
        <w:spacing w:line="360" w:lineRule="auto"/>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四、减缓项目建设环境影响的主要措施</w:t>
      </w:r>
    </w:p>
    <w:p>
      <w:pPr>
        <w:spacing w:line="360" w:lineRule="auto"/>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废气：</w:t>
      </w:r>
      <w:r>
        <w:rPr>
          <w:rFonts w:hint="eastAsia" w:eastAsia="仿宋_GB2312"/>
          <w:color w:val="000000"/>
          <w:sz w:val="32"/>
          <w:szCs w:val="32"/>
        </w:rPr>
        <w:t>项目热处理真空泵废气、热处理废气、室温冷却静置废气和湿式机械加工废气经负压收集通过“油雾净化装置处理+二级活性炭吸附装置”处理后，经1根15米高排气筒（DA001）排放。脱模剂废气、环氧树脂灌封浇注真空泵废气和环氧树脂灌封浇注工序废气均经负压收集通过“二级活性炭吸附装置”处理后，经1根15米高排气筒（DA001）排放，其中热处理真空泵和环氧树脂灌封浇注真空泵自带油膜过滤器处理装置。</w:t>
      </w:r>
    </w:p>
    <w:p>
      <w:pPr>
        <w:spacing w:line="580" w:lineRule="atLeast"/>
        <w:ind w:firstLine="640" w:firstLineChars="200"/>
        <w:rPr>
          <w:rFonts w:ascii="仿宋_GB2312" w:hAnsi="仿宋"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废水：</w:t>
      </w:r>
      <w:r>
        <w:rPr>
          <w:rFonts w:hint="eastAsia" w:eastAsia="仿宋_GB2312"/>
          <w:color w:val="000000"/>
          <w:sz w:val="32"/>
          <w:szCs w:val="32"/>
        </w:rPr>
        <w:t>经自建污水处理站（采用“隔油+混凝”工艺，</w:t>
      </w:r>
      <w:r>
        <w:rPr>
          <w:rFonts w:hint="eastAsia" w:eastAsia="仿宋_GB2312"/>
          <w:color w:val="000000"/>
          <w:sz w:val="32"/>
          <w:szCs w:val="32"/>
          <w:lang w:val="zh-CN"/>
        </w:rPr>
        <w:t>设计规模</w:t>
      </w:r>
      <w:r>
        <w:rPr>
          <w:rFonts w:hint="eastAsia" w:eastAsia="仿宋_GB2312"/>
          <w:color w:val="000000"/>
          <w:sz w:val="32"/>
          <w:szCs w:val="32"/>
        </w:rPr>
        <w:t>1.5立方米</w:t>
      </w:r>
      <w:r>
        <w:rPr>
          <w:rFonts w:hint="eastAsia" w:eastAsia="仿宋_GB2312"/>
          <w:color w:val="000000"/>
          <w:sz w:val="32"/>
          <w:szCs w:val="32"/>
          <w:lang w:val="zh-CN"/>
        </w:rPr>
        <w:t>/</w:t>
      </w:r>
      <w:r>
        <w:rPr>
          <w:rFonts w:hint="eastAsia" w:eastAsia="仿宋_GB2312"/>
          <w:color w:val="000000"/>
          <w:sz w:val="32"/>
          <w:szCs w:val="32"/>
        </w:rPr>
        <w:t>天）处理后达标排放，通过市政污水管网排入沈阳市西部污水处理厂集中处理。</w:t>
      </w:r>
    </w:p>
    <w:p>
      <w:pPr>
        <w:spacing w:line="360" w:lineRule="auto"/>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噪声：</w:t>
      </w:r>
      <w:r>
        <w:rPr>
          <w:rFonts w:hint="eastAsia" w:eastAsia="仿宋_GB2312"/>
          <w:color w:val="000000"/>
          <w:sz w:val="32"/>
          <w:szCs w:val="32"/>
        </w:rPr>
        <w:t>项目通过采取选用低噪声设备、将产噪设备布置于封闭厂房内等措施，再经厂房隔声和距离衰减后</w:t>
      </w:r>
      <w:r>
        <w:rPr>
          <w:rFonts w:hint="eastAsia" w:ascii="Times New Roman" w:hAnsi="Times New Roman" w:eastAsia="仿宋_GB2312"/>
          <w:sz w:val="32"/>
          <w:szCs w:val="32"/>
        </w:rPr>
        <w:t>，达标排放。</w:t>
      </w:r>
    </w:p>
    <w:p>
      <w:pPr>
        <w:spacing w:line="560" w:lineRule="exact"/>
        <w:ind w:firstLine="640" w:firstLineChars="200"/>
        <w:rPr>
          <w:rFonts w:eastAsia="仿宋_GB2312"/>
          <w:color w:val="000000"/>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固废：</w:t>
      </w:r>
      <w:r>
        <w:rPr>
          <w:rFonts w:hint="eastAsia" w:eastAsia="仿宋_GB2312"/>
          <w:color w:val="000000"/>
          <w:sz w:val="32"/>
          <w:szCs w:val="32"/>
        </w:rPr>
        <w:t>隔油和混凝产生的油渣和污泥、废淬火油、废包装桶、废活性炭、废机油、废机油桶、废无毛纸、废切削液桶、废真空泵油、废真空泵滤筒、废切削液等均属于危险废物，分类分区暂存于按照《危险废物贮存污染控制标准》</w:t>
      </w:r>
      <w:r>
        <w:rPr>
          <w:rFonts w:hint="eastAsia" w:ascii="Times New Roman" w:hAnsi="Times New Roman" w:eastAsia="仿宋_GB2312"/>
          <w:sz w:val="32"/>
          <w:szCs w:val="32"/>
        </w:rPr>
        <w:t>（GB18597-2001）</w:t>
      </w:r>
      <w:r>
        <w:rPr>
          <w:rFonts w:hint="eastAsia" w:eastAsia="仿宋_GB2312"/>
          <w:color w:val="000000"/>
          <w:sz w:val="32"/>
          <w:szCs w:val="32"/>
        </w:rPr>
        <w:t>及其修改单整改后的危废暂存间内，并按照《危险废物收集贮存运输技术规范》</w:t>
      </w:r>
      <w:r>
        <w:rPr>
          <w:rFonts w:hint="eastAsia" w:ascii="Times New Roman" w:hAnsi="Times New Roman" w:eastAsia="仿宋_GB2312"/>
          <w:sz w:val="32"/>
          <w:szCs w:val="32"/>
        </w:rPr>
        <w:t>（HJ2025-2012）</w:t>
      </w:r>
      <w:r>
        <w:rPr>
          <w:rFonts w:hint="eastAsia" w:eastAsia="仿宋_GB2312"/>
          <w:color w:val="000000"/>
          <w:sz w:val="32"/>
          <w:szCs w:val="32"/>
        </w:rPr>
        <w:t>相关要求进行规范管理，定期委托有资质的单位处置。</w:t>
      </w:r>
    </w:p>
    <w:p>
      <w:pPr>
        <w:spacing w:line="560" w:lineRule="exact"/>
        <w:ind w:firstLine="640" w:firstLineChars="200"/>
        <w:rPr>
          <w:rFonts w:eastAsia="仿宋_GB2312"/>
          <w:color w:val="000000"/>
          <w:sz w:val="32"/>
          <w:szCs w:val="32"/>
        </w:rPr>
      </w:pPr>
      <w:r>
        <w:rPr>
          <w:rFonts w:hint="eastAsia" w:eastAsia="仿宋_GB2312"/>
          <w:color w:val="000000"/>
          <w:sz w:val="32"/>
          <w:szCs w:val="32"/>
        </w:rPr>
        <w:t>废金属屑和废边角料等属于一般工业固体废物，暂存于按照防渗漏、防雨淋、防扬尘等环境保护要求建设的一般工业固体废物暂存间内，废金属屑和废边角料定期外售。</w:t>
      </w:r>
    </w:p>
    <w:p>
      <w:pPr>
        <w:spacing w:line="360" w:lineRule="auto"/>
        <w:ind w:firstLine="640" w:firstLineChars="200"/>
        <w:outlineLvl w:val="0"/>
        <w:rPr>
          <w:rFonts w:ascii="仿宋_GB2312" w:hAnsi="仿宋" w:eastAsia="仿宋_GB2312"/>
          <w:sz w:val="32"/>
          <w:szCs w:val="32"/>
        </w:rPr>
      </w:pPr>
      <w:r>
        <w:rPr>
          <w:rFonts w:hint="eastAsia" w:ascii="Times New Roman" w:hAnsi="Times New Roman" w:eastAsia="仿宋_GB2312"/>
          <w:sz w:val="32"/>
          <w:szCs w:val="32"/>
        </w:rPr>
        <w:t>五、改扩建项目在启动生产设施或者实际排污之前,排污单位要提前一个月到所在地生态环境分局办理排污许可证变更手续,如不具备排污许可相关手续,改扩建新增部分不得排污。</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六、建设单位要严格落实减缓项目建设环境影响的相关要求。</w:t>
      </w:r>
      <w:r>
        <w:rPr>
          <w:rFonts w:hint="eastAsia" w:ascii="仿宋_GB2312" w:hAnsi="仿宋" w:eastAsia="仿宋_GB2312"/>
          <w:sz w:val="32"/>
          <w:szCs w:val="32"/>
        </w:rPr>
        <w:t>项目一旦出现超标排放或扰民事件，应停产整改。</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七、项目建设应严格执行配套建设相关要求。</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八、沈阳市经济技术开发区生态环境分局负责该项目的环境保护监督管理工作。</w:t>
      </w:r>
    </w:p>
    <w:p>
      <w:pPr>
        <w:tabs>
          <w:tab w:val="left" w:pos="2527"/>
          <w:tab w:val="right" w:pos="8126"/>
        </w:tabs>
        <w:spacing w:line="360" w:lineRule="auto"/>
        <w:ind w:right="300"/>
        <w:jc w:val="left"/>
        <w:rPr>
          <w:rFonts w:ascii="Times New Roman" w:hAnsi="Times New Roman" w:eastAsia="仿宋_GB2312"/>
          <w:sz w:val="32"/>
          <w:szCs w:val="32"/>
        </w:rPr>
      </w:pPr>
    </w:p>
    <w:p>
      <w:pPr>
        <w:tabs>
          <w:tab w:val="left" w:pos="2527"/>
          <w:tab w:val="right" w:pos="8126"/>
        </w:tabs>
        <w:spacing w:line="360" w:lineRule="auto"/>
        <w:ind w:right="300" w:firstLine="2240" w:firstLineChars="700"/>
        <w:jc w:val="left"/>
        <w:rPr>
          <w:rFonts w:ascii="Times New Roman" w:hAnsi="Times New Roman" w:eastAsia="仿宋_GB2312"/>
          <w:color w:val="000000" w:themeColor="text1"/>
          <w:sz w:val="32"/>
          <w:szCs w:val="32"/>
        </w:rPr>
      </w:pPr>
      <w:r>
        <w:rPr>
          <w:rFonts w:hint="eastAsia" w:ascii="Times New Roman" w:hAnsi="Times New Roman" w:eastAsia="仿宋_GB2312"/>
          <w:sz w:val="32"/>
          <w:szCs w:val="32"/>
        </w:rPr>
        <w:t>沈</w:t>
      </w:r>
      <w:r>
        <w:rPr>
          <w:rFonts w:hint="eastAsia" w:ascii="Times New Roman" w:hAnsi="Times New Roman" w:eastAsia="仿宋_GB2312"/>
          <w:color w:val="000000" w:themeColor="text1"/>
          <w:sz w:val="32"/>
          <w:szCs w:val="32"/>
        </w:rPr>
        <w:t>阳市经济技术开发区生态环境</w:t>
      </w:r>
      <w:r>
        <w:rPr>
          <w:rFonts w:ascii="Times New Roman" w:hAnsi="Times New Roman" w:eastAsia="仿宋_GB2312"/>
          <w:color w:val="000000" w:themeColor="text1"/>
          <w:sz w:val="32"/>
          <w:szCs w:val="32"/>
        </w:rPr>
        <w:pict>
          <v:line id="_x0000_s1026" o:spid="_x0000_s1026" o:spt="20" style="position:absolute;left:0pt;flip:y;margin-left:784.05pt;margin-top:17.75pt;height:1.95pt;width:335.85pt;z-index:251659264;mso-width-relative:page;mso-height-relative:page;" coordsize="21600,21600" o:gfxdata="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3yQpNkAAAALAQAADwAAAAAAAAABACAAAAAiAAAAZHJz&#10;L2Rvd25yZXYueG1sUEsBAhQAFAAAAAgAh07iQB1wYHUDAgAABAQAAA4AAAAAAAAAAQAgAAAAKAEA&#10;AGRycy9lMm9Eb2MueG1sUEsFBgAAAAAGAAYAWQEAAJ0FAAAAAA==&#10;">
            <v:path arrowok="t"/>
            <v:fill focussize="0,0"/>
            <v:stroke/>
            <v:imagedata o:title=""/>
            <o:lock v:ext="edit"/>
          </v:line>
        </w:pict>
      </w:r>
      <w:r>
        <w:rPr>
          <w:rFonts w:hint="eastAsia" w:ascii="Times New Roman" w:hAnsi="Times New Roman" w:eastAsia="仿宋_GB2312"/>
          <w:color w:val="000000" w:themeColor="text1"/>
          <w:sz w:val="32"/>
          <w:szCs w:val="32"/>
        </w:rPr>
        <w:t>分局</w:t>
      </w:r>
    </w:p>
    <w:p>
      <w:pPr>
        <w:ind w:firstLine="3520" w:firstLineChars="1100"/>
        <w:rPr>
          <w:rFonts w:ascii="Times New Roman" w:hAnsi="Times New Roman" w:eastAsia="仿宋_GB2312"/>
          <w:sz w:val="32"/>
          <w:szCs w:val="32"/>
        </w:rPr>
      </w:pPr>
      <w:r>
        <w:rPr>
          <w:rFonts w:hint="eastAsia" w:ascii="Times New Roman" w:hAnsi="Times New Roman" w:eastAsia="仿宋_GB2312"/>
          <w:sz w:val="32"/>
          <w:szCs w:val="32"/>
        </w:rPr>
        <w:t>2022年1月2</w:t>
      </w:r>
      <w:r>
        <w:rPr>
          <w:rFonts w:hint="eastAsia" w:ascii="Times New Roman" w:hAnsi="Times New Roman" w:eastAsia="仿宋_GB2312"/>
          <w:sz w:val="32"/>
          <w:szCs w:val="32"/>
          <w:lang w:val="en-US" w:eastAsia="zh-CN"/>
        </w:rPr>
        <w:t>5</w:t>
      </w:r>
      <w:bookmarkStart w:id="0" w:name="_GoBack"/>
      <w:bookmarkEnd w:id="0"/>
      <w:r>
        <w:rPr>
          <w:rFonts w:hint="eastAsia" w:ascii="Times New Roman" w:hAnsi="Times New Roman" w:eastAsia="仿宋_GB2312"/>
          <w:sz w:val="32"/>
          <w:szCs w:val="32"/>
        </w:rPr>
        <w:t>日</w:t>
      </w:r>
    </w:p>
    <w:p>
      <w:pPr>
        <w:spacing w:line="360" w:lineRule="auto"/>
        <w:ind w:firstLine="420" w:firstLineChars="200"/>
        <w:outlineLvl w:val="0"/>
        <w:rPr>
          <w:rFonts w:ascii="Times New Roman" w:hAnsi="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华文行楷">
    <w:altName w:val="宋体"/>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8117B65"/>
    <w:rsid w:val="00014E4A"/>
    <w:rsid w:val="00044CE1"/>
    <w:rsid w:val="000A162A"/>
    <w:rsid w:val="000D7B58"/>
    <w:rsid w:val="000F08A5"/>
    <w:rsid w:val="00154290"/>
    <w:rsid w:val="001A2983"/>
    <w:rsid w:val="001B5DAA"/>
    <w:rsid w:val="00216379"/>
    <w:rsid w:val="0023146D"/>
    <w:rsid w:val="0028511F"/>
    <w:rsid w:val="002F01DE"/>
    <w:rsid w:val="003624F7"/>
    <w:rsid w:val="00366E32"/>
    <w:rsid w:val="00437E3C"/>
    <w:rsid w:val="004B6E12"/>
    <w:rsid w:val="004D644C"/>
    <w:rsid w:val="00553D8A"/>
    <w:rsid w:val="005F2D6B"/>
    <w:rsid w:val="006320FF"/>
    <w:rsid w:val="007D4947"/>
    <w:rsid w:val="007F4798"/>
    <w:rsid w:val="0090712F"/>
    <w:rsid w:val="00951ADE"/>
    <w:rsid w:val="00996830"/>
    <w:rsid w:val="009B3CF8"/>
    <w:rsid w:val="009D06D8"/>
    <w:rsid w:val="00A0691E"/>
    <w:rsid w:val="00A7596A"/>
    <w:rsid w:val="00A8174D"/>
    <w:rsid w:val="00AA69D0"/>
    <w:rsid w:val="00AD70B4"/>
    <w:rsid w:val="00AD77A4"/>
    <w:rsid w:val="00B627AB"/>
    <w:rsid w:val="00BD7D5B"/>
    <w:rsid w:val="00BF33C3"/>
    <w:rsid w:val="00C67C36"/>
    <w:rsid w:val="00C87F0B"/>
    <w:rsid w:val="00CD0DD9"/>
    <w:rsid w:val="00D11E91"/>
    <w:rsid w:val="00D318A1"/>
    <w:rsid w:val="00E32683"/>
    <w:rsid w:val="00EB379F"/>
    <w:rsid w:val="00EF341A"/>
    <w:rsid w:val="00F07DC5"/>
    <w:rsid w:val="00F367CB"/>
    <w:rsid w:val="00F75C1C"/>
    <w:rsid w:val="01F36B63"/>
    <w:rsid w:val="025F1A2D"/>
    <w:rsid w:val="04CB21E9"/>
    <w:rsid w:val="05E31ABC"/>
    <w:rsid w:val="084E69B7"/>
    <w:rsid w:val="0CB87D55"/>
    <w:rsid w:val="0D6E6CFE"/>
    <w:rsid w:val="0E421FAC"/>
    <w:rsid w:val="117040A1"/>
    <w:rsid w:val="1527115C"/>
    <w:rsid w:val="168B3B23"/>
    <w:rsid w:val="176632F3"/>
    <w:rsid w:val="184159D5"/>
    <w:rsid w:val="18E061D8"/>
    <w:rsid w:val="19ED189A"/>
    <w:rsid w:val="1A626854"/>
    <w:rsid w:val="1C0256EF"/>
    <w:rsid w:val="1C4A205D"/>
    <w:rsid w:val="1D2A0A95"/>
    <w:rsid w:val="1E355FF5"/>
    <w:rsid w:val="1E81661E"/>
    <w:rsid w:val="1EF66141"/>
    <w:rsid w:val="213044EF"/>
    <w:rsid w:val="2172049A"/>
    <w:rsid w:val="22194EDD"/>
    <w:rsid w:val="24182381"/>
    <w:rsid w:val="26176F64"/>
    <w:rsid w:val="26220F04"/>
    <w:rsid w:val="267C0258"/>
    <w:rsid w:val="272C4400"/>
    <w:rsid w:val="28634263"/>
    <w:rsid w:val="28995C38"/>
    <w:rsid w:val="296B555F"/>
    <w:rsid w:val="2A890FAB"/>
    <w:rsid w:val="2B114A4E"/>
    <w:rsid w:val="2D304873"/>
    <w:rsid w:val="2FD95978"/>
    <w:rsid w:val="305F73B1"/>
    <w:rsid w:val="30FF502C"/>
    <w:rsid w:val="31713EFA"/>
    <w:rsid w:val="327C5336"/>
    <w:rsid w:val="341975C2"/>
    <w:rsid w:val="35F72CE6"/>
    <w:rsid w:val="38B153FD"/>
    <w:rsid w:val="390E36B3"/>
    <w:rsid w:val="39CF3A54"/>
    <w:rsid w:val="39E81F98"/>
    <w:rsid w:val="3A8643F9"/>
    <w:rsid w:val="3E516A7A"/>
    <w:rsid w:val="3EA963BA"/>
    <w:rsid w:val="41044E9E"/>
    <w:rsid w:val="41BA731D"/>
    <w:rsid w:val="42373E47"/>
    <w:rsid w:val="43B4628D"/>
    <w:rsid w:val="43CB1AE2"/>
    <w:rsid w:val="44311394"/>
    <w:rsid w:val="44703782"/>
    <w:rsid w:val="448942AA"/>
    <w:rsid w:val="449D18D2"/>
    <w:rsid w:val="46363DFE"/>
    <w:rsid w:val="47341C5B"/>
    <w:rsid w:val="477C4869"/>
    <w:rsid w:val="4B242243"/>
    <w:rsid w:val="4C3A5870"/>
    <w:rsid w:val="4C950EB3"/>
    <w:rsid w:val="518B026B"/>
    <w:rsid w:val="53E51CCC"/>
    <w:rsid w:val="56953F8B"/>
    <w:rsid w:val="57075B08"/>
    <w:rsid w:val="57ED3FD9"/>
    <w:rsid w:val="588918B8"/>
    <w:rsid w:val="592B772B"/>
    <w:rsid w:val="596E0DDF"/>
    <w:rsid w:val="5A7A6C57"/>
    <w:rsid w:val="5AB6314B"/>
    <w:rsid w:val="5BE006BD"/>
    <w:rsid w:val="5C2109DA"/>
    <w:rsid w:val="5C9E3FA1"/>
    <w:rsid w:val="5D482D6C"/>
    <w:rsid w:val="5E572F5E"/>
    <w:rsid w:val="5EF9786B"/>
    <w:rsid w:val="5F4828B0"/>
    <w:rsid w:val="601023C7"/>
    <w:rsid w:val="605C786A"/>
    <w:rsid w:val="608B733D"/>
    <w:rsid w:val="628F296B"/>
    <w:rsid w:val="66F41188"/>
    <w:rsid w:val="673C748C"/>
    <w:rsid w:val="67E93E29"/>
    <w:rsid w:val="68DC79C1"/>
    <w:rsid w:val="695F73F2"/>
    <w:rsid w:val="69993FE0"/>
    <w:rsid w:val="6ADF7A26"/>
    <w:rsid w:val="6C9A5876"/>
    <w:rsid w:val="6ED36C87"/>
    <w:rsid w:val="6EF94285"/>
    <w:rsid w:val="706B2DFF"/>
    <w:rsid w:val="70FB3200"/>
    <w:rsid w:val="72D81830"/>
    <w:rsid w:val="73062EB2"/>
    <w:rsid w:val="74EC7CCB"/>
    <w:rsid w:val="75B407A2"/>
    <w:rsid w:val="75FE7876"/>
    <w:rsid w:val="78117B65"/>
    <w:rsid w:val="78F309FE"/>
    <w:rsid w:val="79A64E4E"/>
    <w:rsid w:val="7DED199C"/>
    <w:rsid w:val="7E23327A"/>
    <w:rsid w:val="7EAA574B"/>
    <w:rsid w:val="7F141969"/>
    <w:rsid w:val="7F174C12"/>
    <w:rsid w:val="7F8E6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3"/>
    <w:next w:val="1"/>
    <w:unhideWhenUsed/>
    <w:qFormat/>
    <w:uiPriority w:val="0"/>
    <w:pPr>
      <w:spacing w:line="360" w:lineRule="auto"/>
      <w:ind w:firstLine="720" w:firstLineChars="200"/>
    </w:pPr>
    <w:rPr>
      <w:rFonts w:ascii="Times New Roman" w:hAnsi="Times New Roman"/>
      <w:sz w:val="24"/>
      <w:szCs w:val="22"/>
    </w:rPr>
  </w:style>
  <w:style w:type="paragraph" w:styleId="3">
    <w:name w:val="Body Text Indent"/>
    <w:basedOn w:val="1"/>
    <w:next w:val="4"/>
    <w:qFormat/>
    <w:uiPriority w:val="0"/>
    <w:pPr>
      <w:spacing w:after="120"/>
      <w:ind w:left="420" w:leftChars="200"/>
    </w:pPr>
  </w:style>
  <w:style w:type="paragraph" w:styleId="4">
    <w:name w:val="header"/>
    <w:basedOn w:val="1"/>
    <w:next w:val="5"/>
    <w:link w:val="17"/>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样式5"/>
    <w:basedOn w:val="6"/>
    <w:qFormat/>
    <w:uiPriority w:val="0"/>
    <w:pPr>
      <w:spacing w:line="380" w:lineRule="exact"/>
      <w:ind w:firstLine="566" w:firstLineChars="202"/>
    </w:pPr>
    <w:rPr>
      <w:rFonts w:eastAsia="华文行楷"/>
      <w:sz w:val="28"/>
    </w:rPr>
  </w:style>
  <w:style w:type="paragraph" w:styleId="6">
    <w:name w:val="Normal Indent"/>
    <w:basedOn w:val="1"/>
    <w:next w:val="1"/>
    <w:qFormat/>
    <w:uiPriority w:val="0"/>
    <w:pPr>
      <w:ind w:firstLine="420" w:firstLineChars="200"/>
    </w:pPr>
    <w:rPr>
      <w:rFonts w:ascii="Times New Roman" w:hAnsi="Times New Roman"/>
    </w:rPr>
  </w:style>
  <w:style w:type="paragraph" w:styleId="7">
    <w:name w:val="Body Text"/>
    <w:basedOn w:val="1"/>
    <w:qFormat/>
    <w:uiPriority w:val="0"/>
    <w:pPr>
      <w:spacing w:line="500" w:lineRule="exact"/>
      <w:ind w:firstLine="1280" w:firstLineChars="200"/>
    </w:pPr>
    <w:rPr>
      <w:spacing w:val="6"/>
    </w:rPr>
  </w:style>
  <w:style w:type="paragraph" w:styleId="8">
    <w:name w:val="footer"/>
    <w:basedOn w:val="1"/>
    <w:next w:val="1"/>
    <w:unhideWhenUsed/>
    <w:qFormat/>
    <w:uiPriority w:val="99"/>
    <w:pPr>
      <w:tabs>
        <w:tab w:val="center" w:pos="4153"/>
        <w:tab w:val="right" w:pos="8306"/>
      </w:tabs>
      <w:snapToGrid w:val="0"/>
      <w:jc w:val="left"/>
    </w:pPr>
    <w:rPr>
      <w:sz w:val="18"/>
      <w:szCs w:val="18"/>
    </w:rPr>
  </w:style>
  <w:style w:type="paragraph" w:styleId="9">
    <w:name w:val="List"/>
    <w:basedOn w:val="1"/>
    <w:qFormat/>
    <w:uiPriority w:val="0"/>
    <w:pPr>
      <w:spacing w:line="320" w:lineRule="exact"/>
      <w:jc w:val="center"/>
    </w:pPr>
    <w:rPr>
      <w:sz w:val="22"/>
    </w:rPr>
  </w:style>
  <w:style w:type="paragraph" w:styleId="10">
    <w:name w:val="Normal (Web)"/>
    <w:basedOn w:val="1"/>
    <w:unhideWhenUsed/>
    <w:qFormat/>
    <w:uiPriority w:val="0"/>
    <w:pPr>
      <w:spacing w:line="360" w:lineRule="auto"/>
      <w:ind w:firstLine="200" w:firstLineChars="200"/>
    </w:pPr>
    <w:rPr>
      <w:rFonts w:ascii="Times New Roman" w:hAnsi="Times New Roman"/>
      <w:sz w:val="24"/>
    </w:rPr>
  </w:style>
  <w:style w:type="table" w:styleId="12">
    <w:name w:val="Table Grid"/>
    <w:basedOn w:val="1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4">
    <w:name w:val="_Style 4"/>
    <w:basedOn w:val="1"/>
    <w:next w:val="1"/>
    <w:qFormat/>
    <w:uiPriority w:val="1"/>
    <w:rPr>
      <w:rFonts w:ascii="Tahoma" w:hAnsi="Tahoma" w:eastAsia="仿宋_GB2312"/>
      <w:b/>
      <w:sz w:val="24"/>
      <w:szCs w:val="20"/>
    </w:rPr>
  </w:style>
  <w:style w:type="paragraph" w:customStyle="1" w:styleId="15">
    <w:name w:val="样式 正文11 + 首行缩进:  2 字符"/>
    <w:basedOn w:val="1"/>
    <w:qFormat/>
    <w:uiPriority w:val="0"/>
    <w:pPr>
      <w:spacing w:line="500" w:lineRule="exact"/>
      <w:ind w:firstLine="560" w:firstLineChars="200"/>
    </w:pPr>
    <w:rPr>
      <w:rFonts w:ascii="宋体" w:hAnsi="宋体" w:cs="宋体"/>
      <w:b/>
      <w:color w:val="FF0000"/>
      <w:sz w:val="28"/>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页眉 Char"/>
    <w:basedOn w:val="13"/>
    <w:link w:val="4"/>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4</Pages>
  <Words>268</Words>
  <Characters>1529</Characters>
  <Lines>12</Lines>
  <Paragraphs>3</Paragraphs>
  <TotalTime>0</TotalTime>
  <ScaleCrop>false</ScaleCrop>
  <LinksUpToDate>false</LinksUpToDate>
  <CharactersWithSpaces>1794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2022-01-24T08:08:00Z</dcterms:created>
  <dc:creator>刘莹</dc:creator>
  <cp:lastModifiedBy>宋凯</cp:lastModifiedBy>
  <cp:lastPrinted>2020-09-23T00:34:00Z</cp:lastPrinted>
  <dcterms:modified xsi:type="dcterms:W3CDTF">2022-01-24T08:10:29Z</dcterms:modified>
  <dc:title>沈环经开审字[2019]0000号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790FF35DB30643338690B680580CFC28</vt:lpwstr>
  </property>
</Properties>
</file>